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hint="eastAsia" w:eastAsiaTheme="minorEastAsia"/>
          <w:color w:val="auto"/>
          <w:lang w:val="en-US" w:eastAsia="zh-CN"/>
        </w:rPr>
      </w:pPr>
      <w:r>
        <w:rPr>
          <w:rFonts w:hint="eastAsia" w:eastAsiaTheme="minorEastAsia"/>
          <w:color w:val="auto"/>
          <w:lang w:val="en-US" w:eastAsia="zh-CN"/>
        </w:rPr>
        <w:drawing>
          <wp:inline distT="0" distB="0" distL="114300" distR="114300">
            <wp:extent cx="2178685" cy="2209165"/>
            <wp:effectExtent l="0" t="0" r="0" b="0"/>
            <wp:docPr id="2" name="图片 2" descr="三河学院圆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河学院圆形LOGO"/>
                    <pic:cNvPicPr>
                      <a:picLocks noChangeAspect="1"/>
                    </pic:cNvPicPr>
                  </pic:nvPicPr>
                  <pic:blipFill>
                    <a:blip r:embed="rId8"/>
                    <a:stretch>
                      <a:fillRect/>
                    </a:stretch>
                  </pic:blipFill>
                  <pic:spPr>
                    <a:xfrm>
                      <a:off x="0" y="0"/>
                      <a:ext cx="2178685" cy="2209165"/>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hint="eastAsia" w:eastAsiaTheme="minorEastAsia"/>
          <w:color w:val="auto"/>
          <w:lang w:val="en-US" w:eastAsia="zh-CN"/>
        </w:rPr>
      </w:pPr>
    </w:p>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72"/>
          <w:szCs w:val="72"/>
          <w:lang w:eastAsia="zh-CN"/>
        </w:rPr>
      </w:pPr>
      <w:r>
        <w:rPr>
          <w:rFonts w:hint="eastAsia" w:ascii="方正小标宋简体" w:hAnsi="方正小标宋简体" w:eastAsia="方正小标宋简体" w:cs="方正小标宋简体"/>
          <w:color w:val="auto"/>
          <w:sz w:val="72"/>
          <w:szCs w:val="72"/>
          <w:lang w:eastAsia="zh-CN"/>
        </w:rPr>
        <w:t>四川三河职业学院</w:t>
      </w:r>
    </w:p>
    <w:p>
      <w:pPr>
        <w:spacing w:before="0" w:beforeLines="0" w:after="0" w:afterLines="0" w:line="240" w:lineRule="auto"/>
        <w:ind w:left="0" w:leftChars="0" w:right="0" w:rightChars="0" w:firstLine="0" w:firstLineChars="0"/>
        <w:jc w:val="center"/>
        <w:rPr>
          <w:rFonts w:hint="eastAsia" w:ascii="黑体" w:hAnsi="黑体" w:eastAsia="黑体" w:cs="黑体"/>
          <w:color w:val="auto"/>
          <w:sz w:val="52"/>
          <w:szCs w:val="52"/>
          <w:lang w:eastAsia="zh-CN"/>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r>
        <w:rPr>
          <w:rFonts w:hint="eastAsia" w:ascii="黑体" w:hAnsi="黑体" w:eastAsia="黑体" w:cs="黑体"/>
          <w:color w:val="auto"/>
          <w:sz w:val="56"/>
          <w:szCs w:val="56"/>
          <w:lang w:eastAsia="zh-CN"/>
        </w:rPr>
        <w:t>高等职业教育质量报告（</w:t>
      </w:r>
      <w:r>
        <w:rPr>
          <w:rFonts w:hint="eastAsia" w:ascii="黑体" w:hAnsi="黑体" w:eastAsia="黑体" w:cs="黑体"/>
          <w:color w:val="auto"/>
          <w:sz w:val="56"/>
          <w:szCs w:val="56"/>
          <w:lang w:val="en-US" w:eastAsia="zh-CN"/>
        </w:rPr>
        <w:t>2023</w:t>
      </w:r>
      <w:r>
        <w:rPr>
          <w:rFonts w:hint="eastAsia" w:ascii="黑体" w:hAnsi="黑体" w:eastAsia="黑体" w:cs="黑体"/>
          <w:color w:val="auto"/>
          <w:sz w:val="56"/>
          <w:szCs w:val="56"/>
          <w:lang w:eastAsia="zh-CN"/>
        </w:rPr>
        <w:t>年度</w:t>
      </w:r>
      <w:r>
        <w:rPr>
          <w:rFonts w:hint="eastAsia" w:ascii="黑体" w:hAnsi="黑体" w:eastAsia="黑体" w:cs="黑体"/>
          <w:color w:val="auto"/>
          <w:sz w:val="56"/>
          <w:szCs w:val="56"/>
          <w:lang w:val="en-US" w:eastAsia="zh-CN"/>
        </w:rPr>
        <w:t>）</w:t>
      </w: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both"/>
        <w:rPr>
          <w:rFonts w:ascii="宋体" w:hAnsi="宋体" w:eastAsia="宋体" w:cstheme="minorBidi"/>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执笔人：薛尚兵  蒲先祥</w:t>
      </w:r>
    </w:p>
    <w:p>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32"/>
          <w:lang w:val="en-US" w:eastAsia="zh-CN"/>
        </w:rPr>
      </w:pPr>
    </w:p>
    <w:p>
      <w:pPr>
        <w:spacing w:before="0" w:beforeLines="0" w:after="0" w:afterLines="0" w:line="240" w:lineRule="auto"/>
        <w:ind w:left="0" w:leftChars="0" w:right="0" w:rightChars="0" w:firstLine="0" w:firstLineChars="0"/>
        <w:jc w:val="center"/>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2023年12月</w:t>
      </w: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sectPr>
          <w:footerReference r:id="rId3" w:type="default"/>
          <w:pgSz w:w="11906" w:h="16838"/>
          <w:pgMar w:top="1440" w:right="1800" w:bottom="1440" w:left="1800" w:header="851" w:footer="992" w:gutter="0"/>
          <w:pgNumType w:start="1"/>
          <w:cols w:space="425" w:num="1"/>
          <w:docGrid w:type="lines" w:linePitch="312" w:charSpace="0"/>
        </w:sectPr>
      </w:pPr>
    </w:p>
    <w:p>
      <w:pPr>
        <w:widowControl/>
        <w:snapToGrid w:val="0"/>
        <w:jc w:val="center"/>
        <w:rPr>
          <w:rFonts w:hint="eastAsia" w:ascii="黑体" w:hAnsi="黑体" w:eastAsia="黑体" w:cs="黑体"/>
          <w:sz w:val="32"/>
          <w:szCs w:val="32"/>
          <w:lang w:val="en-US" w:eastAsia="zh-CN"/>
        </w:rPr>
      </w:pPr>
    </w:p>
    <w:p>
      <w:pPr>
        <w:widowControl/>
        <w:snapToGrid w:val="0"/>
        <w:jc w:val="center"/>
        <w:rPr>
          <w:rFonts w:hint="eastAsia" w:ascii="黑体" w:hAnsi="黑体" w:eastAsia="黑体" w:cs="黑体"/>
          <w:sz w:val="32"/>
          <w:szCs w:val="32"/>
          <w:lang w:val="en-US" w:eastAsia="zh-CN"/>
        </w:rPr>
      </w:pPr>
    </w:p>
    <w:p>
      <w:pPr>
        <w:pStyle w:val="3"/>
        <w:keepNext w:val="0"/>
        <w:keepLines w:val="0"/>
        <w:widowControl/>
        <w:spacing w:before="312" w:beforeLines="100" w:after="312" w:afterLines="100" w:line="64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前 言</w:t>
      </w:r>
    </w:p>
    <w:p>
      <w:pPr>
        <w:widowControl/>
        <w:snapToGrid w:val="0"/>
        <w:jc w:val="center"/>
        <w:rPr>
          <w:rFonts w:hint="eastAsia" w:ascii="黑体" w:hAnsi="黑体" w:eastAsia="黑体" w:cs="黑体"/>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学校高度重视质量年度报告的编制、发布和报送工作，</w:t>
      </w:r>
      <w:r>
        <w:rPr>
          <w:rFonts w:hint="eastAsia" w:ascii="仿宋" w:hAnsi="仿宋" w:eastAsia="仿宋" w:cs="仿宋"/>
          <w:color w:val="000000"/>
          <w:sz w:val="32"/>
          <w:szCs w:val="32"/>
          <w:lang w:val="en-US" w:eastAsia="zh-CN"/>
        </w:rPr>
        <w:t>并</w:t>
      </w:r>
      <w:r>
        <w:rPr>
          <w:rFonts w:hint="eastAsia" w:ascii="仿宋" w:hAnsi="仿宋" w:eastAsia="仿宋" w:cs="仿宋"/>
          <w:color w:val="000000"/>
          <w:sz w:val="32"/>
          <w:szCs w:val="32"/>
        </w:rPr>
        <w:t>依据《四川省教育厅关于做好2023年度职业教育质量报告编制、发布和报送工作的通知》文件精神</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由质量保证与科技处牵头，各部门协同开展年度工作梳理，主要从</w:t>
      </w:r>
      <w:r>
        <w:rPr>
          <w:rFonts w:hint="eastAsia" w:ascii="仿宋" w:hAnsi="仿宋" w:eastAsia="仿宋" w:cs="仿宋"/>
          <w:color w:val="000000"/>
          <w:sz w:val="32"/>
          <w:szCs w:val="32"/>
        </w:rPr>
        <w:t>学校情况、</w:t>
      </w:r>
      <w:r>
        <w:rPr>
          <w:rFonts w:hint="eastAsia" w:ascii="仿宋" w:hAnsi="仿宋" w:eastAsia="仿宋" w:cs="仿宋"/>
          <w:color w:val="000000"/>
          <w:sz w:val="32"/>
          <w:szCs w:val="32"/>
          <w:lang w:val="en-US" w:eastAsia="zh-CN"/>
        </w:rPr>
        <w:t>政策保障</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党建工作与思想政治工作、学生发展、教学改革</w:t>
      </w:r>
      <w:r>
        <w:rPr>
          <w:rFonts w:hint="eastAsia" w:ascii="仿宋" w:hAnsi="仿宋" w:eastAsia="仿宋" w:cs="仿宋"/>
          <w:color w:val="000000"/>
          <w:sz w:val="32"/>
          <w:szCs w:val="32"/>
        </w:rPr>
        <w:t>、服务贡献、面临挑战</w:t>
      </w:r>
      <w:r>
        <w:rPr>
          <w:rFonts w:hint="eastAsia" w:ascii="仿宋" w:hAnsi="仿宋" w:eastAsia="仿宋" w:cs="仿宋"/>
          <w:color w:val="000000"/>
          <w:sz w:val="32"/>
          <w:szCs w:val="32"/>
          <w:lang w:val="en-US" w:eastAsia="zh-CN"/>
        </w:rPr>
        <w:t>七</w:t>
      </w:r>
      <w:r>
        <w:rPr>
          <w:rFonts w:hint="eastAsia" w:ascii="仿宋" w:hAnsi="仿宋" w:eastAsia="仿宋" w:cs="仿宋"/>
          <w:color w:val="000000"/>
          <w:sz w:val="32"/>
          <w:szCs w:val="32"/>
        </w:rPr>
        <w:t>个部分，</w:t>
      </w:r>
      <w:r>
        <w:rPr>
          <w:rFonts w:hint="eastAsia" w:ascii="仿宋" w:hAnsi="仿宋" w:eastAsia="仿宋" w:cs="仿宋"/>
          <w:color w:val="000000"/>
          <w:sz w:val="32"/>
          <w:szCs w:val="32"/>
          <w:lang w:val="en-US" w:eastAsia="zh-CN"/>
        </w:rPr>
        <w:t>总结提炼了本年度高质量办学的重要举措、凝练了典型特色案例。</w:t>
      </w:r>
      <w:r>
        <w:rPr>
          <w:rFonts w:hint="eastAsia" w:ascii="仿宋" w:hAnsi="仿宋" w:eastAsia="仿宋" w:cs="仿宋"/>
          <w:color w:val="000000"/>
          <w:sz w:val="32"/>
          <w:szCs w:val="32"/>
        </w:rPr>
        <w:t>以定量分析、</w:t>
      </w:r>
      <w:r>
        <w:rPr>
          <w:rFonts w:hint="eastAsia" w:ascii="仿宋" w:hAnsi="仿宋" w:eastAsia="仿宋" w:cs="仿宋"/>
          <w:color w:val="000000"/>
          <w:sz w:val="32"/>
          <w:szCs w:val="32"/>
          <w:lang w:val="en-US" w:eastAsia="zh-CN"/>
        </w:rPr>
        <w:t>数据支撑、案例深入</w:t>
      </w:r>
      <w:r>
        <w:rPr>
          <w:rFonts w:hint="eastAsia" w:ascii="仿宋" w:hAnsi="仿宋" w:eastAsia="仿宋" w:cs="仿宋"/>
          <w:color w:val="000000"/>
          <w:sz w:val="32"/>
          <w:szCs w:val="32"/>
        </w:rPr>
        <w:t>的特点全面展现了学校</w:t>
      </w:r>
      <w:r>
        <w:rPr>
          <w:rFonts w:hint="eastAsia" w:ascii="仿宋" w:hAnsi="仿宋" w:eastAsia="仿宋" w:cs="仿宋"/>
          <w:color w:val="000000"/>
          <w:sz w:val="32"/>
          <w:szCs w:val="32"/>
          <w:lang w:val="en-US" w:eastAsia="zh-CN"/>
        </w:rPr>
        <w:t>2023年度</w:t>
      </w:r>
      <w:r>
        <w:rPr>
          <w:rFonts w:hint="eastAsia" w:ascii="仿宋" w:hAnsi="仿宋" w:eastAsia="仿宋" w:cs="仿宋"/>
          <w:color w:val="000000"/>
          <w:sz w:val="32"/>
          <w:szCs w:val="32"/>
        </w:rPr>
        <w:t>在职业教育改革发展过程中的成绩、问题和对策。特呈现内容如下。</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sz w:val="32"/>
          <w:szCs w:val="32"/>
        </w:rPr>
      </w:pPr>
    </w:p>
    <w:p>
      <w:pPr>
        <w:rPr>
          <w:rFonts w:ascii="Times New Roman" w:hAnsi="Times New Roman" w:eastAsia="仿宋_GB2312" w:cs="Times New Roman"/>
          <w:sz w:val="32"/>
          <w:szCs w:val="32"/>
        </w:rPr>
        <w:sectPr>
          <w:pgSz w:w="11906" w:h="16838"/>
          <w:pgMar w:top="1440" w:right="1800" w:bottom="1440" w:left="1800" w:header="851" w:footer="992" w:gutter="0"/>
          <w:pgNumType w:start="1"/>
          <w:cols w:space="425" w:num="1"/>
          <w:docGrid w:type="lines" w:linePitch="312" w:charSpace="0"/>
        </w:sectPr>
      </w:pPr>
    </w:p>
    <w:sdt>
      <w:sdtPr>
        <w:rPr>
          <w:rFonts w:ascii="宋体" w:hAnsi="宋体" w:eastAsia="宋体" w:cstheme="minorBidi"/>
          <w:color w:val="auto"/>
          <w:kern w:val="2"/>
          <w:sz w:val="32"/>
          <w:szCs w:val="32"/>
          <w:lang w:val="en-US" w:eastAsia="zh-CN" w:bidi="ar-SA"/>
        </w:rPr>
        <w:id w:val="147480760"/>
        <w15:color w:val="DBDBDB"/>
        <w:docPartObj>
          <w:docPartGallery w:val="Table of Contents"/>
          <w:docPartUnique/>
        </w:docPartObj>
      </w:sdtPr>
      <w:sdtEndPr>
        <w:rPr>
          <w:rFonts w:hint="eastAsia" w:ascii="黑体" w:hAnsi="黑体" w:eastAsia="黑体" w:cs="黑体"/>
          <w:bCs/>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目</w:t>
          </w:r>
          <w:r>
            <w:rPr>
              <w:rFonts w:hint="eastAsia" w:ascii="黑体" w:hAnsi="黑体" w:eastAsia="黑体" w:cs="黑体"/>
              <w:b w:val="0"/>
              <w:bCs w:val="0"/>
              <w:color w:val="auto"/>
              <w:sz w:val="32"/>
              <w:szCs w:val="32"/>
              <w:lang w:val="en-US" w:eastAsia="zh-CN"/>
            </w:rPr>
            <w:t xml:space="preserve">  </w:t>
          </w:r>
          <w:r>
            <w:rPr>
              <w:rFonts w:hint="eastAsia" w:ascii="黑体" w:hAnsi="黑体" w:eastAsia="黑体" w:cs="黑体"/>
              <w:b w:val="0"/>
              <w:bCs w:val="0"/>
              <w:color w:val="auto"/>
              <w:sz w:val="32"/>
              <w:szCs w:val="32"/>
            </w:rPr>
            <w:t>录</w:t>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 w:val="0"/>
              <w:bCs w:val="0"/>
              <w:color w:val="auto"/>
              <w:sz w:val="24"/>
              <w:szCs w:val="24"/>
              <w:lang w:eastAsia="zh-CN"/>
            </w:rPr>
            <w:fldChar w:fldCharType="begin"/>
          </w:r>
          <w:r>
            <w:rPr>
              <w:rFonts w:hint="eastAsia" w:ascii="黑体" w:hAnsi="黑体" w:eastAsia="黑体" w:cs="黑体"/>
              <w:b w:val="0"/>
              <w:bCs w:val="0"/>
              <w:color w:val="auto"/>
              <w:sz w:val="24"/>
              <w:szCs w:val="24"/>
              <w:lang w:eastAsia="zh-CN"/>
            </w:rPr>
            <w:instrText xml:space="preserve">TOC \o "1-3" \h \u </w:instrText>
          </w:r>
          <w:r>
            <w:rPr>
              <w:rFonts w:hint="eastAsia" w:ascii="黑体" w:hAnsi="黑体" w:eastAsia="黑体" w:cs="黑体"/>
              <w:b w:val="0"/>
              <w:bCs w:val="0"/>
              <w:color w:val="auto"/>
              <w:sz w:val="24"/>
              <w:szCs w:val="24"/>
              <w:lang w:eastAsia="zh-CN"/>
            </w:rPr>
            <w:fldChar w:fldCharType="separate"/>
          </w: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_Toc31578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eastAsia="zh-CN"/>
            </w:rPr>
            <w:t>一、基本情况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_Toc31578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_Toc5042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eastAsia="zh-CN"/>
            </w:rPr>
            <w:t>（一）学校</w:t>
          </w:r>
          <w:r>
            <w:rPr>
              <w:rFonts w:hint="eastAsia" w:ascii="黑体" w:hAnsi="黑体" w:eastAsia="黑体" w:cs="黑体"/>
              <w:bCs/>
              <w:sz w:val="24"/>
              <w:szCs w:val="24"/>
              <w:lang w:val="en-US" w:eastAsia="zh-CN"/>
            </w:rPr>
            <w:t>概况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_Toc5042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_Toc29775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（二）教学单位与专业设置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_Toc29775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_Toc14648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（三）学生情况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_Toc14648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_Toc19245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（四）教师情况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_Toc19245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_Toc29809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二、政策保障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_Toc29809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_Toc6056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（一）经费投入</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_Toc6056 \h </w:instrText>
          </w:r>
          <w:r>
            <w:rPr>
              <w:rFonts w:hint="eastAsia" w:ascii="黑体" w:hAnsi="黑体" w:eastAsia="黑体" w:cs="黑体"/>
              <w:sz w:val="24"/>
              <w:szCs w:val="24"/>
            </w:rPr>
            <w:fldChar w:fldCharType="separate"/>
          </w:r>
          <w:r>
            <w:rPr>
              <w:rFonts w:hint="eastAsia" w:ascii="黑体" w:hAnsi="黑体" w:eastAsia="黑体" w:cs="黑体"/>
              <w:sz w:val="24"/>
              <w:szCs w:val="24"/>
            </w:rPr>
            <w:t>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_Toc23468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（二）硬件建设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_Toc23468 \h </w:instrText>
          </w:r>
          <w:r>
            <w:rPr>
              <w:rFonts w:hint="eastAsia" w:ascii="黑体" w:hAnsi="黑体" w:eastAsia="黑体" w:cs="黑体"/>
              <w:sz w:val="24"/>
              <w:szCs w:val="24"/>
            </w:rPr>
            <w:fldChar w:fldCharType="separate"/>
          </w:r>
          <w:r>
            <w:rPr>
              <w:rFonts w:hint="eastAsia" w:ascii="黑体" w:hAnsi="黑体" w:eastAsia="黑体" w:cs="黑体"/>
              <w:sz w:val="24"/>
              <w:szCs w:val="24"/>
            </w:rPr>
            <w:t>7</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_Toc9882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（三）队伍建设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_Toc9882 \h </w:instrText>
          </w:r>
          <w:r>
            <w:rPr>
              <w:rFonts w:hint="eastAsia" w:ascii="黑体" w:hAnsi="黑体" w:eastAsia="黑体" w:cs="黑体"/>
              <w:sz w:val="24"/>
              <w:szCs w:val="24"/>
            </w:rPr>
            <w:fldChar w:fldCharType="separate"/>
          </w:r>
          <w:r>
            <w:rPr>
              <w:rFonts w:hint="eastAsia" w:ascii="黑体" w:hAnsi="黑体" w:eastAsia="黑体" w:cs="黑体"/>
              <w:sz w:val="24"/>
              <w:szCs w:val="24"/>
            </w:rPr>
            <w:t>7</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_Toc24848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（四）质量保障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_Toc24848 \h </w:instrText>
          </w:r>
          <w:r>
            <w:rPr>
              <w:rFonts w:hint="eastAsia" w:ascii="黑体" w:hAnsi="黑体" w:eastAsia="黑体" w:cs="黑体"/>
              <w:sz w:val="24"/>
              <w:szCs w:val="24"/>
            </w:rPr>
            <w:fldChar w:fldCharType="separate"/>
          </w:r>
          <w:r>
            <w:rPr>
              <w:rFonts w:hint="eastAsia" w:ascii="黑体" w:hAnsi="黑体" w:eastAsia="黑体" w:cs="黑体"/>
              <w:sz w:val="24"/>
              <w:szCs w:val="24"/>
            </w:rPr>
            <w:t>17</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_Toc32602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三、党建与思想政治工作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_Toc32602 \h </w:instrText>
          </w:r>
          <w:r>
            <w:rPr>
              <w:rFonts w:hint="eastAsia" w:ascii="黑体" w:hAnsi="黑体" w:eastAsia="黑体" w:cs="黑体"/>
              <w:sz w:val="24"/>
              <w:szCs w:val="24"/>
            </w:rPr>
            <w:fldChar w:fldCharType="separate"/>
          </w:r>
          <w:r>
            <w:rPr>
              <w:rFonts w:hint="eastAsia" w:ascii="黑体" w:hAnsi="黑体" w:eastAsia="黑体" w:cs="黑体"/>
              <w:sz w:val="24"/>
              <w:szCs w:val="24"/>
            </w:rPr>
            <w:t>19</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_Toc7463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（一）坚持党建引领，加强思想政治建设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_Toc7463 \h </w:instrText>
          </w:r>
          <w:r>
            <w:rPr>
              <w:rFonts w:hint="eastAsia" w:ascii="黑体" w:hAnsi="黑体" w:eastAsia="黑体" w:cs="黑体"/>
              <w:sz w:val="24"/>
              <w:szCs w:val="24"/>
            </w:rPr>
            <w:fldChar w:fldCharType="separate"/>
          </w:r>
          <w:r>
            <w:rPr>
              <w:rFonts w:hint="eastAsia" w:ascii="黑体" w:hAnsi="黑体" w:eastAsia="黑体" w:cs="黑体"/>
              <w:sz w:val="24"/>
              <w:szCs w:val="24"/>
            </w:rPr>
            <w:t>19</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_Toc29875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（二）深化主题教育，促进重点工作落实</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_Toc29875 \h </w:instrText>
          </w:r>
          <w:r>
            <w:rPr>
              <w:rFonts w:hint="eastAsia" w:ascii="黑体" w:hAnsi="黑体" w:eastAsia="黑体" w:cs="黑体"/>
              <w:sz w:val="24"/>
              <w:szCs w:val="24"/>
            </w:rPr>
            <w:fldChar w:fldCharType="separate"/>
          </w:r>
          <w:r>
            <w:rPr>
              <w:rFonts w:hint="eastAsia" w:ascii="黑体" w:hAnsi="黑体" w:eastAsia="黑体" w:cs="黑体"/>
              <w:sz w:val="24"/>
              <w:szCs w:val="24"/>
            </w:rPr>
            <w:t>19</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_Toc19048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（三）聚焦支部质量，组织功能明显增强</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_Toc19048 \h </w:instrText>
          </w:r>
          <w:r>
            <w:rPr>
              <w:rFonts w:hint="eastAsia" w:ascii="黑体" w:hAnsi="黑体" w:eastAsia="黑体" w:cs="黑体"/>
              <w:sz w:val="24"/>
              <w:szCs w:val="24"/>
            </w:rPr>
            <w:fldChar w:fldCharType="separate"/>
          </w:r>
          <w:r>
            <w:rPr>
              <w:rFonts w:hint="eastAsia" w:ascii="黑体" w:hAnsi="黑体" w:eastAsia="黑体" w:cs="黑体"/>
              <w:sz w:val="24"/>
              <w:szCs w:val="24"/>
            </w:rPr>
            <w:t>20</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_Toc9899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（四）加强队伍建设，能力素质得到提升</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_Toc9899 \h </w:instrText>
          </w:r>
          <w:r>
            <w:rPr>
              <w:rFonts w:hint="eastAsia" w:ascii="黑体" w:hAnsi="黑体" w:eastAsia="黑体" w:cs="黑体"/>
              <w:sz w:val="24"/>
              <w:szCs w:val="24"/>
            </w:rPr>
            <w:fldChar w:fldCharType="separate"/>
          </w:r>
          <w:r>
            <w:rPr>
              <w:rFonts w:hint="eastAsia" w:ascii="黑体" w:hAnsi="黑体" w:eastAsia="黑体" w:cs="黑体"/>
              <w:sz w:val="24"/>
              <w:szCs w:val="24"/>
            </w:rPr>
            <w:t>21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_Toc25196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（五）积极创先争优，各项工作取得成效</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_Toc25196 \h </w:instrText>
          </w:r>
          <w:r>
            <w:rPr>
              <w:rFonts w:hint="eastAsia" w:ascii="黑体" w:hAnsi="黑体" w:eastAsia="黑体" w:cs="黑体"/>
              <w:sz w:val="24"/>
              <w:szCs w:val="24"/>
            </w:rPr>
            <w:fldChar w:fldCharType="separate"/>
          </w:r>
          <w:r>
            <w:rPr>
              <w:rFonts w:hint="eastAsia" w:ascii="黑体" w:hAnsi="黑体" w:eastAsia="黑体" w:cs="黑体"/>
              <w:sz w:val="24"/>
              <w:szCs w:val="24"/>
            </w:rPr>
            <w:t>22</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_Toc17279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四、学生发展</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_Toc17279 \h </w:instrText>
          </w:r>
          <w:r>
            <w:rPr>
              <w:rFonts w:hint="eastAsia" w:ascii="黑体" w:hAnsi="黑体" w:eastAsia="黑体" w:cs="黑体"/>
              <w:sz w:val="24"/>
              <w:szCs w:val="24"/>
            </w:rPr>
            <w:fldChar w:fldCharType="separate"/>
          </w:r>
          <w:r>
            <w:rPr>
              <w:rFonts w:hint="eastAsia" w:ascii="黑体" w:hAnsi="黑体" w:eastAsia="黑体" w:cs="黑体"/>
              <w:sz w:val="24"/>
              <w:szCs w:val="24"/>
            </w:rPr>
            <w:t>24</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_Toc4466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（一）学生服务</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_Toc4466 \h </w:instrText>
          </w:r>
          <w:r>
            <w:rPr>
              <w:rFonts w:hint="eastAsia" w:ascii="黑体" w:hAnsi="黑体" w:eastAsia="黑体" w:cs="黑体"/>
              <w:sz w:val="24"/>
              <w:szCs w:val="24"/>
            </w:rPr>
            <w:fldChar w:fldCharType="separate"/>
          </w:r>
          <w:r>
            <w:rPr>
              <w:rFonts w:hint="eastAsia" w:ascii="黑体" w:hAnsi="黑体" w:eastAsia="黑体" w:cs="黑体"/>
              <w:sz w:val="24"/>
              <w:szCs w:val="24"/>
            </w:rPr>
            <w:t>24</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_Toc2430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1.学生资助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_Toc2430 \h </w:instrText>
          </w:r>
          <w:r>
            <w:rPr>
              <w:rFonts w:hint="eastAsia" w:ascii="黑体" w:hAnsi="黑体" w:eastAsia="黑体" w:cs="黑体"/>
              <w:sz w:val="24"/>
              <w:szCs w:val="24"/>
            </w:rPr>
            <w:fldChar w:fldCharType="separate"/>
          </w:r>
          <w:r>
            <w:rPr>
              <w:rFonts w:hint="eastAsia" w:ascii="黑体" w:hAnsi="黑体" w:eastAsia="黑体" w:cs="黑体"/>
              <w:sz w:val="24"/>
              <w:szCs w:val="24"/>
            </w:rPr>
            <w:t>24</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_Toc7007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2.心理健康服务</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_Toc7007 \h </w:instrText>
          </w:r>
          <w:r>
            <w:rPr>
              <w:rFonts w:hint="eastAsia" w:ascii="黑体" w:hAnsi="黑体" w:eastAsia="黑体" w:cs="黑体"/>
              <w:sz w:val="24"/>
              <w:szCs w:val="24"/>
            </w:rPr>
            <w:fldChar w:fldCharType="separate"/>
          </w:r>
          <w:r>
            <w:rPr>
              <w:rFonts w:hint="eastAsia" w:ascii="黑体" w:hAnsi="黑体" w:eastAsia="黑体" w:cs="黑体"/>
              <w:sz w:val="24"/>
              <w:szCs w:val="24"/>
            </w:rPr>
            <w:t>25</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_Toc22688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3.学生活动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_Toc22688 \h </w:instrText>
          </w:r>
          <w:r>
            <w:rPr>
              <w:rFonts w:hint="eastAsia" w:ascii="黑体" w:hAnsi="黑体" w:eastAsia="黑体" w:cs="黑体"/>
              <w:sz w:val="24"/>
              <w:szCs w:val="24"/>
            </w:rPr>
            <w:fldChar w:fldCharType="separate"/>
          </w:r>
          <w:r>
            <w:rPr>
              <w:rFonts w:hint="eastAsia" w:ascii="黑体" w:hAnsi="黑体" w:eastAsia="黑体" w:cs="黑体"/>
              <w:sz w:val="24"/>
              <w:szCs w:val="24"/>
            </w:rPr>
            <w:t>28</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_Toc25949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（二）学生素质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_Toc25949 \h </w:instrText>
          </w:r>
          <w:r>
            <w:rPr>
              <w:rFonts w:hint="eastAsia" w:ascii="黑体" w:hAnsi="黑体" w:eastAsia="黑体" w:cs="黑体"/>
              <w:sz w:val="24"/>
              <w:szCs w:val="24"/>
            </w:rPr>
            <w:fldChar w:fldCharType="separate"/>
          </w:r>
          <w:r>
            <w:rPr>
              <w:rFonts w:hint="eastAsia" w:ascii="黑体" w:hAnsi="黑体" w:eastAsia="黑体" w:cs="黑体"/>
              <w:sz w:val="24"/>
              <w:szCs w:val="24"/>
            </w:rPr>
            <w:t>33</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_Toc23065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（三）育人成效</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_Toc23065 \h </w:instrText>
          </w:r>
          <w:r>
            <w:rPr>
              <w:rFonts w:hint="eastAsia" w:ascii="黑体" w:hAnsi="黑体" w:eastAsia="黑体" w:cs="黑体"/>
              <w:sz w:val="24"/>
              <w:szCs w:val="24"/>
            </w:rPr>
            <w:fldChar w:fldCharType="separate"/>
          </w:r>
          <w:r>
            <w:rPr>
              <w:rFonts w:hint="eastAsia" w:ascii="黑体" w:hAnsi="黑体" w:eastAsia="黑体" w:cs="黑体"/>
              <w:sz w:val="24"/>
              <w:szCs w:val="24"/>
            </w:rPr>
            <w:t>33</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_Toc12733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1.学生获得各级各类表彰情况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_Toc12733 \h </w:instrText>
          </w:r>
          <w:r>
            <w:rPr>
              <w:rFonts w:hint="eastAsia" w:ascii="黑体" w:hAnsi="黑体" w:eastAsia="黑体" w:cs="黑体"/>
              <w:sz w:val="24"/>
              <w:szCs w:val="24"/>
            </w:rPr>
            <w:fldChar w:fldCharType="separate"/>
          </w:r>
          <w:r>
            <w:rPr>
              <w:rFonts w:hint="eastAsia" w:ascii="黑体" w:hAnsi="黑体" w:eastAsia="黑体" w:cs="黑体"/>
              <w:sz w:val="24"/>
              <w:szCs w:val="24"/>
            </w:rPr>
            <w:t>34</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_Toc13619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2.学生参加专业技能大赛获奖情况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_Toc13619 \h </w:instrText>
          </w:r>
          <w:r>
            <w:rPr>
              <w:rFonts w:hint="eastAsia" w:ascii="黑体" w:hAnsi="黑体" w:eastAsia="黑体" w:cs="黑体"/>
              <w:sz w:val="24"/>
              <w:szCs w:val="24"/>
            </w:rPr>
            <w:fldChar w:fldCharType="separate"/>
          </w:r>
          <w:r>
            <w:rPr>
              <w:rFonts w:hint="eastAsia" w:ascii="黑体" w:hAnsi="黑体" w:eastAsia="黑体" w:cs="黑体"/>
              <w:sz w:val="24"/>
              <w:szCs w:val="24"/>
            </w:rPr>
            <w:t>36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_Toc18397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3.学生参加文体大赛获奖情况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_Toc18397 \h </w:instrText>
          </w:r>
          <w:r>
            <w:rPr>
              <w:rFonts w:hint="eastAsia" w:ascii="黑体" w:hAnsi="黑体" w:eastAsia="黑体" w:cs="黑体"/>
              <w:sz w:val="24"/>
              <w:szCs w:val="24"/>
            </w:rPr>
            <w:fldChar w:fldCharType="separate"/>
          </w:r>
          <w:r>
            <w:rPr>
              <w:rFonts w:hint="eastAsia" w:ascii="黑体" w:hAnsi="黑体" w:eastAsia="黑体" w:cs="黑体"/>
              <w:sz w:val="24"/>
              <w:szCs w:val="24"/>
            </w:rPr>
            <w:t>45</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_Toc17452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4.学生参加双创、创意、文创大赛获奖情况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_Toc17452 \h </w:instrText>
          </w:r>
          <w:r>
            <w:rPr>
              <w:rFonts w:hint="eastAsia" w:ascii="黑体" w:hAnsi="黑体" w:eastAsia="黑体" w:cs="黑体"/>
              <w:sz w:val="24"/>
              <w:szCs w:val="24"/>
            </w:rPr>
            <w:fldChar w:fldCharType="separate"/>
          </w:r>
          <w:r>
            <w:rPr>
              <w:rFonts w:hint="eastAsia" w:ascii="黑体" w:hAnsi="黑体" w:eastAsia="黑体" w:cs="黑体"/>
              <w:sz w:val="24"/>
              <w:szCs w:val="24"/>
            </w:rPr>
            <w:t>46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_Toc20491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5.学生专升本情况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_Toc20491 \h </w:instrText>
          </w:r>
          <w:r>
            <w:rPr>
              <w:rFonts w:hint="eastAsia" w:ascii="黑体" w:hAnsi="黑体" w:eastAsia="黑体" w:cs="黑体"/>
              <w:sz w:val="24"/>
              <w:szCs w:val="24"/>
            </w:rPr>
            <w:fldChar w:fldCharType="separate"/>
          </w:r>
          <w:r>
            <w:rPr>
              <w:rFonts w:hint="eastAsia" w:ascii="黑体" w:hAnsi="黑体" w:eastAsia="黑体" w:cs="黑体"/>
              <w:sz w:val="24"/>
              <w:szCs w:val="24"/>
            </w:rPr>
            <w:t>48</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6"/>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_Toc4344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6.毕业生就业情况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_Toc4344 \h </w:instrText>
          </w:r>
          <w:r>
            <w:rPr>
              <w:rFonts w:hint="eastAsia" w:ascii="黑体" w:hAnsi="黑体" w:eastAsia="黑体" w:cs="黑体"/>
              <w:sz w:val="24"/>
              <w:szCs w:val="24"/>
            </w:rPr>
            <w:fldChar w:fldCharType="separate"/>
          </w:r>
          <w:r>
            <w:rPr>
              <w:rFonts w:hint="eastAsia" w:ascii="黑体" w:hAnsi="黑体" w:eastAsia="黑体" w:cs="黑体"/>
              <w:sz w:val="24"/>
              <w:szCs w:val="24"/>
            </w:rPr>
            <w:t>48</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_Toc11205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（四）在校体验</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_Toc11205 \h </w:instrText>
          </w:r>
          <w:r>
            <w:rPr>
              <w:rFonts w:hint="eastAsia" w:ascii="黑体" w:hAnsi="黑体" w:eastAsia="黑体" w:cs="黑体"/>
              <w:sz w:val="24"/>
              <w:szCs w:val="24"/>
            </w:rPr>
            <w:fldChar w:fldCharType="separate"/>
          </w:r>
          <w:r>
            <w:rPr>
              <w:rFonts w:hint="eastAsia" w:ascii="黑体" w:hAnsi="黑体" w:eastAsia="黑体" w:cs="黑体"/>
              <w:sz w:val="24"/>
              <w:szCs w:val="24"/>
            </w:rPr>
            <w:t>51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_Toc24847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五、教学改革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_Toc24847 \h </w:instrText>
          </w:r>
          <w:r>
            <w:rPr>
              <w:rFonts w:hint="eastAsia" w:ascii="黑体" w:hAnsi="黑体" w:eastAsia="黑体" w:cs="黑体"/>
              <w:sz w:val="24"/>
              <w:szCs w:val="24"/>
            </w:rPr>
            <w:fldChar w:fldCharType="separate"/>
          </w:r>
          <w:r>
            <w:rPr>
              <w:rFonts w:hint="eastAsia" w:ascii="黑体" w:hAnsi="黑体" w:eastAsia="黑体" w:cs="黑体"/>
              <w:sz w:val="24"/>
              <w:szCs w:val="24"/>
            </w:rPr>
            <w:t>51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_Toc5324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（一）专业建设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_Toc5324 \h </w:instrText>
          </w:r>
          <w:r>
            <w:rPr>
              <w:rFonts w:hint="eastAsia" w:ascii="黑体" w:hAnsi="黑体" w:eastAsia="黑体" w:cs="黑体"/>
              <w:sz w:val="24"/>
              <w:szCs w:val="24"/>
            </w:rPr>
            <w:fldChar w:fldCharType="separate"/>
          </w:r>
          <w:r>
            <w:rPr>
              <w:rFonts w:hint="eastAsia" w:ascii="黑体" w:hAnsi="黑体" w:eastAsia="黑体" w:cs="黑体"/>
              <w:sz w:val="24"/>
              <w:szCs w:val="24"/>
            </w:rPr>
            <w:t>51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_Toc4275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（二）课程建设</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_Toc4275 \h </w:instrText>
          </w:r>
          <w:r>
            <w:rPr>
              <w:rFonts w:hint="eastAsia" w:ascii="黑体" w:hAnsi="黑体" w:eastAsia="黑体" w:cs="黑体"/>
              <w:sz w:val="24"/>
              <w:szCs w:val="24"/>
            </w:rPr>
            <w:fldChar w:fldCharType="separate"/>
          </w:r>
          <w:r>
            <w:rPr>
              <w:rFonts w:hint="eastAsia" w:ascii="黑体" w:hAnsi="黑体" w:eastAsia="黑体" w:cs="黑体"/>
              <w:sz w:val="24"/>
              <w:szCs w:val="24"/>
            </w:rPr>
            <w:t>52</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_Toc25048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（三）教学资源建设与信息化教学</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_Toc25048 \h </w:instrText>
          </w:r>
          <w:r>
            <w:rPr>
              <w:rFonts w:hint="eastAsia" w:ascii="黑体" w:hAnsi="黑体" w:eastAsia="黑体" w:cs="黑体"/>
              <w:sz w:val="24"/>
              <w:szCs w:val="24"/>
            </w:rPr>
            <w:fldChar w:fldCharType="separate"/>
          </w:r>
          <w:r>
            <w:rPr>
              <w:rFonts w:hint="eastAsia" w:ascii="黑体" w:hAnsi="黑体" w:eastAsia="黑体" w:cs="黑体"/>
              <w:sz w:val="24"/>
              <w:szCs w:val="24"/>
            </w:rPr>
            <w:t>52</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_Toc16716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（四）政行企校协同育人</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_Toc16716 \h </w:instrText>
          </w:r>
          <w:r>
            <w:rPr>
              <w:rFonts w:hint="eastAsia" w:ascii="黑体" w:hAnsi="黑体" w:eastAsia="黑体" w:cs="黑体"/>
              <w:sz w:val="24"/>
              <w:szCs w:val="24"/>
            </w:rPr>
            <w:fldChar w:fldCharType="separate"/>
          </w:r>
          <w:r>
            <w:rPr>
              <w:rFonts w:hint="eastAsia" w:ascii="黑体" w:hAnsi="黑体" w:eastAsia="黑体" w:cs="黑体"/>
              <w:sz w:val="24"/>
              <w:szCs w:val="24"/>
            </w:rPr>
            <w:t>55</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_Toc1527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六、服务贡献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_Toc1527 \h </w:instrText>
          </w:r>
          <w:r>
            <w:rPr>
              <w:rFonts w:hint="eastAsia" w:ascii="黑体" w:hAnsi="黑体" w:eastAsia="黑体" w:cs="黑体"/>
              <w:sz w:val="24"/>
              <w:szCs w:val="24"/>
            </w:rPr>
            <w:fldChar w:fldCharType="separate"/>
          </w:r>
          <w:r>
            <w:rPr>
              <w:rFonts w:hint="eastAsia" w:ascii="黑体" w:hAnsi="黑体" w:eastAsia="黑体" w:cs="黑体"/>
              <w:sz w:val="24"/>
              <w:szCs w:val="24"/>
            </w:rPr>
            <w:t>60</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_Toc15314 </w:instrText>
          </w:r>
          <w:r>
            <w:rPr>
              <w:rFonts w:hint="eastAsia" w:ascii="黑体" w:hAnsi="黑体" w:eastAsia="黑体" w:cs="黑体"/>
              <w:bCs w:val="0"/>
              <w:sz w:val="24"/>
              <w:szCs w:val="24"/>
              <w:lang w:eastAsia="zh-CN"/>
            </w:rPr>
            <w:fldChar w:fldCharType="separate"/>
          </w:r>
          <w:r>
            <w:rPr>
              <w:rFonts w:hint="eastAsia" w:ascii="黑体" w:hAnsi="黑体" w:eastAsia="黑体" w:cs="黑体"/>
              <w:bCs/>
              <w:strike w:val="0"/>
              <w:dstrike w:val="0"/>
              <w:kern w:val="0"/>
              <w:sz w:val="24"/>
              <w:szCs w:val="24"/>
              <w:lang w:val="en-US" w:eastAsia="zh-CN" w:bidi="ar-SA"/>
            </w:rPr>
            <w:t>（一）服务行业企业</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_Toc15314 \h </w:instrText>
          </w:r>
          <w:r>
            <w:rPr>
              <w:rFonts w:hint="eastAsia" w:ascii="黑体" w:hAnsi="黑体" w:eastAsia="黑体" w:cs="黑体"/>
              <w:sz w:val="24"/>
              <w:szCs w:val="24"/>
            </w:rPr>
            <w:fldChar w:fldCharType="separate"/>
          </w:r>
          <w:r>
            <w:rPr>
              <w:rFonts w:hint="eastAsia" w:ascii="黑体" w:hAnsi="黑体" w:eastAsia="黑体" w:cs="黑体"/>
              <w:sz w:val="24"/>
              <w:szCs w:val="24"/>
            </w:rPr>
            <w:t>60</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_Toc18396 </w:instrText>
          </w:r>
          <w:r>
            <w:rPr>
              <w:rFonts w:hint="eastAsia" w:ascii="黑体" w:hAnsi="黑体" w:eastAsia="黑体" w:cs="黑体"/>
              <w:bCs w:val="0"/>
              <w:sz w:val="24"/>
              <w:szCs w:val="24"/>
              <w:lang w:eastAsia="zh-CN"/>
            </w:rPr>
            <w:fldChar w:fldCharType="separate"/>
          </w:r>
          <w:r>
            <w:rPr>
              <w:rFonts w:hint="eastAsia" w:ascii="黑体" w:hAnsi="黑体" w:eastAsia="黑体" w:cs="黑体"/>
              <w:bCs/>
              <w:strike w:val="0"/>
              <w:dstrike w:val="0"/>
              <w:kern w:val="0"/>
              <w:sz w:val="24"/>
              <w:szCs w:val="24"/>
              <w:lang w:val="en-US" w:eastAsia="zh-CN" w:bidi="ar-SA"/>
            </w:rPr>
            <w:t>（二）服务地方发展</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_Toc18396 \h </w:instrText>
          </w:r>
          <w:r>
            <w:rPr>
              <w:rFonts w:hint="eastAsia" w:ascii="黑体" w:hAnsi="黑体" w:eastAsia="黑体" w:cs="黑体"/>
              <w:sz w:val="24"/>
              <w:szCs w:val="24"/>
            </w:rPr>
            <w:fldChar w:fldCharType="separate"/>
          </w:r>
          <w:r>
            <w:rPr>
              <w:rFonts w:hint="eastAsia" w:ascii="黑体" w:hAnsi="黑体" w:eastAsia="黑体" w:cs="黑体"/>
              <w:sz w:val="24"/>
              <w:szCs w:val="24"/>
            </w:rPr>
            <w:t>60</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_Toc12125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trike w:val="0"/>
              <w:dstrike w:val="0"/>
              <w:kern w:val="0"/>
              <w:sz w:val="24"/>
              <w:szCs w:val="24"/>
              <w:lang w:val="en-US" w:eastAsia="zh-CN" w:bidi="ar-SA"/>
            </w:rPr>
            <w:t>（三）服务地方社区</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_Toc12125 \h </w:instrText>
          </w:r>
          <w:r>
            <w:rPr>
              <w:rFonts w:hint="eastAsia" w:ascii="黑体" w:hAnsi="黑体" w:eastAsia="黑体" w:cs="黑体"/>
              <w:sz w:val="24"/>
              <w:szCs w:val="24"/>
            </w:rPr>
            <w:fldChar w:fldCharType="separate"/>
          </w:r>
          <w:r>
            <w:rPr>
              <w:rFonts w:hint="eastAsia" w:ascii="黑体" w:hAnsi="黑体" w:eastAsia="黑体" w:cs="黑体"/>
              <w:sz w:val="24"/>
              <w:szCs w:val="24"/>
            </w:rPr>
            <w:t>61</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_Toc22696 </w:instrText>
          </w:r>
          <w:r>
            <w:rPr>
              <w:rFonts w:hint="eastAsia" w:ascii="黑体" w:hAnsi="黑体" w:eastAsia="黑体" w:cs="黑体"/>
              <w:bCs w:val="0"/>
              <w:sz w:val="24"/>
              <w:szCs w:val="24"/>
              <w:lang w:eastAsia="zh-CN"/>
            </w:rPr>
            <w:fldChar w:fldCharType="separate"/>
          </w:r>
          <w:r>
            <w:rPr>
              <w:rFonts w:hint="eastAsia" w:ascii="黑体" w:hAnsi="黑体" w:eastAsia="黑体" w:cs="黑体"/>
              <w:bCs/>
              <w:strike w:val="0"/>
              <w:dstrike w:val="0"/>
              <w:kern w:val="0"/>
              <w:sz w:val="24"/>
              <w:szCs w:val="24"/>
              <w:lang w:val="en-US" w:eastAsia="zh-CN" w:bidi="ar-SA"/>
            </w:rPr>
            <w:t>（四）服务乡村振兴</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_Toc22696 \h </w:instrText>
          </w:r>
          <w:r>
            <w:rPr>
              <w:rFonts w:hint="eastAsia" w:ascii="黑体" w:hAnsi="黑体" w:eastAsia="黑体" w:cs="黑体"/>
              <w:sz w:val="24"/>
              <w:szCs w:val="24"/>
            </w:rPr>
            <w:fldChar w:fldCharType="separate"/>
          </w:r>
          <w:r>
            <w:rPr>
              <w:rFonts w:hint="eastAsia" w:ascii="黑体" w:hAnsi="黑体" w:eastAsia="黑体" w:cs="黑体"/>
              <w:sz w:val="24"/>
              <w:szCs w:val="24"/>
            </w:rPr>
            <w:t>63</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_Toc30031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七、面临挑战</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_Toc30031 \h </w:instrText>
          </w:r>
          <w:r>
            <w:rPr>
              <w:rFonts w:hint="eastAsia" w:ascii="黑体" w:hAnsi="黑体" w:eastAsia="黑体" w:cs="黑体"/>
              <w:sz w:val="24"/>
              <w:szCs w:val="24"/>
            </w:rPr>
            <w:fldChar w:fldCharType="separate"/>
          </w:r>
          <w:r>
            <w:rPr>
              <w:rFonts w:hint="eastAsia" w:ascii="黑体" w:hAnsi="黑体" w:eastAsia="黑体" w:cs="黑体"/>
              <w:sz w:val="24"/>
              <w:szCs w:val="24"/>
            </w:rPr>
            <w:t>66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_Toc28145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（一）类型教育特点突出，带来挑战</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_Toc28145 \h </w:instrText>
          </w:r>
          <w:r>
            <w:rPr>
              <w:rFonts w:hint="eastAsia" w:ascii="黑体" w:hAnsi="黑体" w:eastAsia="黑体" w:cs="黑体"/>
              <w:sz w:val="24"/>
              <w:szCs w:val="24"/>
            </w:rPr>
            <w:fldChar w:fldCharType="separate"/>
          </w:r>
          <w:r>
            <w:rPr>
              <w:rFonts w:hint="eastAsia" w:ascii="黑体" w:hAnsi="黑体" w:eastAsia="黑体" w:cs="黑体"/>
              <w:sz w:val="24"/>
              <w:szCs w:val="24"/>
            </w:rPr>
            <w:t>66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_Toc4023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（二）区域产业转型升级，带来挑战</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_Toc4023 \h </w:instrText>
          </w:r>
          <w:r>
            <w:rPr>
              <w:rFonts w:hint="eastAsia" w:ascii="黑体" w:hAnsi="黑体" w:eastAsia="黑体" w:cs="黑体"/>
              <w:sz w:val="24"/>
              <w:szCs w:val="24"/>
            </w:rPr>
            <w:fldChar w:fldCharType="separate"/>
          </w:r>
          <w:r>
            <w:rPr>
              <w:rFonts w:hint="eastAsia" w:ascii="黑体" w:hAnsi="黑体" w:eastAsia="黑体" w:cs="黑体"/>
              <w:sz w:val="24"/>
              <w:szCs w:val="24"/>
            </w:rPr>
            <w:t>66</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_Toc24854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（三）生源结构深刻变化，带来挑战</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_Toc24854 \h </w:instrText>
          </w:r>
          <w:r>
            <w:rPr>
              <w:rFonts w:hint="eastAsia" w:ascii="黑体" w:hAnsi="黑体" w:eastAsia="黑体" w:cs="黑体"/>
              <w:sz w:val="24"/>
              <w:szCs w:val="24"/>
            </w:rPr>
            <w:fldChar w:fldCharType="separate"/>
          </w:r>
          <w:r>
            <w:rPr>
              <w:rFonts w:hint="eastAsia" w:ascii="黑体" w:hAnsi="黑体" w:eastAsia="黑体" w:cs="黑体"/>
              <w:sz w:val="24"/>
              <w:szCs w:val="24"/>
            </w:rPr>
            <w:t>67</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_Toc31704 </w:instrText>
          </w:r>
          <w:r>
            <w:rPr>
              <w:rFonts w:hint="eastAsia" w:ascii="黑体" w:hAnsi="黑体" w:eastAsia="黑体" w:cs="黑体"/>
              <w:bCs w:val="0"/>
              <w:sz w:val="24"/>
              <w:szCs w:val="24"/>
              <w:lang w:eastAsia="zh-CN"/>
            </w:rPr>
            <w:fldChar w:fldCharType="separate"/>
          </w:r>
          <w:r>
            <w:rPr>
              <w:rFonts w:hint="eastAsia" w:ascii="黑体" w:hAnsi="黑体" w:eastAsia="黑体" w:cs="黑体"/>
              <w:bCs/>
              <w:sz w:val="24"/>
              <w:szCs w:val="24"/>
              <w:lang w:val="en-US" w:eastAsia="zh-CN"/>
            </w:rPr>
            <w:t>附表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_Toc31704 \h </w:instrText>
          </w:r>
          <w:r>
            <w:rPr>
              <w:rFonts w:hint="eastAsia" w:ascii="黑体" w:hAnsi="黑体" w:eastAsia="黑体" w:cs="黑体"/>
              <w:sz w:val="24"/>
              <w:szCs w:val="24"/>
            </w:rPr>
            <w:fldChar w:fldCharType="separate"/>
          </w:r>
          <w:r>
            <w:rPr>
              <w:rFonts w:hint="eastAsia" w:ascii="黑体" w:hAnsi="黑体" w:eastAsia="黑体" w:cs="黑体"/>
              <w:sz w:val="24"/>
              <w:szCs w:val="24"/>
            </w:rPr>
            <w:t>68</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_Toc9761 </w:instrText>
          </w:r>
          <w:r>
            <w:rPr>
              <w:rFonts w:hint="eastAsia" w:ascii="黑体" w:hAnsi="黑体" w:eastAsia="黑体" w:cs="黑体"/>
              <w:bCs w:val="0"/>
              <w:sz w:val="24"/>
              <w:szCs w:val="24"/>
              <w:lang w:eastAsia="zh-CN"/>
            </w:rPr>
            <w:fldChar w:fldCharType="separate"/>
          </w:r>
          <w:r>
            <w:rPr>
              <w:rFonts w:hint="eastAsia" w:ascii="黑体" w:hAnsi="黑体" w:eastAsia="黑体" w:cs="黑体"/>
              <w:sz w:val="24"/>
              <w:szCs w:val="24"/>
            </w:rPr>
            <w:t>表1  人才培养质量计分卡</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_Toc9761 \h </w:instrText>
          </w:r>
          <w:r>
            <w:rPr>
              <w:rFonts w:hint="eastAsia" w:ascii="黑体" w:hAnsi="黑体" w:eastAsia="黑体" w:cs="黑体"/>
              <w:sz w:val="24"/>
              <w:szCs w:val="24"/>
            </w:rPr>
            <w:fldChar w:fldCharType="separate"/>
          </w:r>
          <w:r>
            <w:rPr>
              <w:rFonts w:hint="eastAsia" w:ascii="黑体" w:hAnsi="黑体" w:eastAsia="黑体" w:cs="黑体"/>
              <w:sz w:val="24"/>
              <w:szCs w:val="24"/>
            </w:rPr>
            <w:t>68</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_Toc519 </w:instrText>
          </w:r>
          <w:r>
            <w:rPr>
              <w:rFonts w:hint="eastAsia" w:ascii="黑体" w:hAnsi="黑体" w:eastAsia="黑体" w:cs="黑体"/>
              <w:bCs w:val="0"/>
              <w:sz w:val="24"/>
              <w:szCs w:val="24"/>
              <w:lang w:eastAsia="zh-CN"/>
            </w:rPr>
            <w:fldChar w:fldCharType="separate"/>
          </w:r>
          <w:r>
            <w:rPr>
              <w:rFonts w:hint="eastAsia" w:ascii="黑体" w:hAnsi="黑体" w:eastAsia="黑体" w:cs="黑体"/>
              <w:sz w:val="24"/>
              <w:szCs w:val="24"/>
            </w:rPr>
            <w:t xml:space="preserve">表2 </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满意度调查表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_Toc519 \h </w:instrText>
          </w:r>
          <w:r>
            <w:rPr>
              <w:rFonts w:hint="eastAsia" w:ascii="黑体" w:hAnsi="黑体" w:eastAsia="黑体" w:cs="黑体"/>
              <w:sz w:val="24"/>
              <w:szCs w:val="24"/>
            </w:rPr>
            <w:fldChar w:fldCharType="separate"/>
          </w:r>
          <w:r>
            <w:rPr>
              <w:rFonts w:hint="eastAsia" w:ascii="黑体" w:hAnsi="黑体" w:eastAsia="黑体" w:cs="黑体"/>
              <w:sz w:val="24"/>
              <w:szCs w:val="24"/>
            </w:rPr>
            <w:t>69</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_Toc16069 </w:instrText>
          </w:r>
          <w:r>
            <w:rPr>
              <w:rFonts w:hint="eastAsia" w:ascii="黑体" w:hAnsi="黑体" w:eastAsia="黑体" w:cs="黑体"/>
              <w:bCs w:val="0"/>
              <w:sz w:val="24"/>
              <w:szCs w:val="24"/>
              <w:lang w:eastAsia="zh-CN"/>
            </w:rPr>
            <w:fldChar w:fldCharType="separate"/>
          </w:r>
          <w:r>
            <w:rPr>
              <w:rFonts w:hint="eastAsia" w:ascii="黑体" w:hAnsi="黑体" w:eastAsia="黑体" w:cs="黑体"/>
              <w:sz w:val="24"/>
              <w:szCs w:val="24"/>
            </w:rPr>
            <w:t>表3  教学资源表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_Toc16069 \h </w:instrText>
          </w:r>
          <w:r>
            <w:rPr>
              <w:rFonts w:hint="eastAsia" w:ascii="黑体" w:hAnsi="黑体" w:eastAsia="黑体" w:cs="黑体"/>
              <w:sz w:val="24"/>
              <w:szCs w:val="24"/>
            </w:rPr>
            <w:fldChar w:fldCharType="separate"/>
          </w:r>
          <w:r>
            <w:rPr>
              <w:rFonts w:hint="eastAsia" w:ascii="黑体" w:hAnsi="黑体" w:eastAsia="黑体" w:cs="黑体"/>
              <w:sz w:val="24"/>
              <w:szCs w:val="24"/>
            </w:rPr>
            <w:t>70</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_Toc13614 </w:instrText>
          </w:r>
          <w:r>
            <w:rPr>
              <w:rFonts w:hint="eastAsia" w:ascii="黑体" w:hAnsi="黑体" w:eastAsia="黑体" w:cs="黑体"/>
              <w:bCs w:val="0"/>
              <w:sz w:val="24"/>
              <w:szCs w:val="24"/>
              <w:lang w:eastAsia="zh-CN"/>
            </w:rPr>
            <w:fldChar w:fldCharType="separate"/>
          </w:r>
          <w:r>
            <w:rPr>
              <w:rFonts w:hint="eastAsia" w:ascii="黑体" w:hAnsi="黑体" w:eastAsia="黑体" w:cs="黑体"/>
              <w:sz w:val="24"/>
              <w:szCs w:val="24"/>
            </w:rPr>
            <w:t>表4  服务贡献表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_Toc13614 \h </w:instrText>
          </w:r>
          <w:r>
            <w:rPr>
              <w:rFonts w:hint="eastAsia" w:ascii="黑体" w:hAnsi="黑体" w:eastAsia="黑体" w:cs="黑体"/>
              <w:sz w:val="24"/>
              <w:szCs w:val="24"/>
            </w:rPr>
            <w:fldChar w:fldCharType="separate"/>
          </w:r>
          <w:r>
            <w:rPr>
              <w:rFonts w:hint="eastAsia" w:ascii="黑体" w:hAnsi="黑体" w:eastAsia="黑体" w:cs="黑体"/>
              <w:sz w:val="24"/>
              <w:szCs w:val="24"/>
            </w:rPr>
            <w:t>70</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_Toc12856 </w:instrText>
          </w:r>
          <w:r>
            <w:rPr>
              <w:rFonts w:hint="eastAsia" w:ascii="黑体" w:hAnsi="黑体" w:eastAsia="黑体" w:cs="黑体"/>
              <w:bCs w:val="0"/>
              <w:sz w:val="24"/>
              <w:szCs w:val="24"/>
              <w:lang w:eastAsia="zh-CN"/>
            </w:rPr>
            <w:fldChar w:fldCharType="separate"/>
          </w:r>
          <w:r>
            <w:rPr>
              <w:rFonts w:hint="eastAsia" w:ascii="黑体" w:hAnsi="黑体" w:eastAsia="黑体" w:cs="黑体"/>
              <w:sz w:val="24"/>
              <w:szCs w:val="24"/>
            </w:rPr>
            <w:t>表5  国际影响表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_Toc12856 \h </w:instrText>
          </w:r>
          <w:r>
            <w:rPr>
              <w:rFonts w:hint="eastAsia" w:ascii="黑体" w:hAnsi="黑体" w:eastAsia="黑体" w:cs="黑体"/>
              <w:sz w:val="24"/>
              <w:szCs w:val="24"/>
            </w:rPr>
            <w:fldChar w:fldCharType="separate"/>
          </w:r>
          <w:r>
            <w:rPr>
              <w:rFonts w:hint="eastAsia" w:ascii="黑体" w:hAnsi="黑体" w:eastAsia="黑体" w:cs="黑体"/>
              <w:sz w:val="24"/>
              <w:szCs w:val="24"/>
            </w:rPr>
            <w:t>72</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10"/>
            <w:tabs>
              <w:tab w:val="right" w:leader="dot" w:pos="8306"/>
            </w:tabs>
            <w:spacing w:line="360" w:lineRule="auto"/>
            <w:rPr>
              <w:rFonts w:hint="eastAsia" w:ascii="黑体" w:hAnsi="黑体" w:eastAsia="黑体" w:cs="黑体"/>
              <w:sz w:val="24"/>
              <w:szCs w:val="24"/>
            </w:rPr>
          </w:pPr>
          <w:r>
            <w:rPr>
              <w:rFonts w:hint="eastAsia" w:ascii="黑体" w:hAnsi="黑体" w:eastAsia="黑体" w:cs="黑体"/>
              <w:bCs w:val="0"/>
              <w:color w:val="auto"/>
              <w:sz w:val="24"/>
              <w:szCs w:val="24"/>
              <w:lang w:eastAsia="zh-CN"/>
            </w:rPr>
            <w:fldChar w:fldCharType="begin"/>
          </w:r>
          <w:r>
            <w:rPr>
              <w:rFonts w:hint="eastAsia" w:ascii="黑体" w:hAnsi="黑体" w:eastAsia="黑体" w:cs="黑体"/>
              <w:bCs w:val="0"/>
              <w:sz w:val="24"/>
              <w:szCs w:val="24"/>
              <w:lang w:eastAsia="zh-CN"/>
            </w:rPr>
            <w:instrText xml:space="preserve"> HYPERLINK \l _Toc10171 </w:instrText>
          </w:r>
          <w:r>
            <w:rPr>
              <w:rFonts w:hint="eastAsia" w:ascii="黑体" w:hAnsi="黑体" w:eastAsia="黑体" w:cs="黑体"/>
              <w:bCs w:val="0"/>
              <w:sz w:val="24"/>
              <w:szCs w:val="24"/>
              <w:lang w:eastAsia="zh-CN"/>
            </w:rPr>
            <w:fldChar w:fldCharType="separate"/>
          </w:r>
          <w:r>
            <w:rPr>
              <w:rFonts w:hint="eastAsia" w:ascii="黑体" w:hAnsi="黑体" w:eastAsia="黑体" w:cs="黑体"/>
              <w:sz w:val="24"/>
              <w:szCs w:val="24"/>
            </w:rPr>
            <w:t>表6  落实政策表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_Toc10171 \h </w:instrText>
          </w:r>
          <w:r>
            <w:rPr>
              <w:rFonts w:hint="eastAsia" w:ascii="黑体" w:hAnsi="黑体" w:eastAsia="黑体" w:cs="黑体"/>
              <w:sz w:val="24"/>
              <w:szCs w:val="24"/>
            </w:rPr>
            <w:fldChar w:fldCharType="separate"/>
          </w:r>
          <w:r>
            <w:rPr>
              <w:rFonts w:hint="eastAsia" w:ascii="黑体" w:hAnsi="黑体" w:eastAsia="黑体" w:cs="黑体"/>
              <w:sz w:val="24"/>
              <w:szCs w:val="24"/>
            </w:rPr>
            <w:t>73</w:t>
          </w:r>
          <w:r>
            <w:rPr>
              <w:rFonts w:hint="eastAsia" w:ascii="黑体" w:hAnsi="黑体" w:eastAsia="黑体" w:cs="黑体"/>
              <w:sz w:val="24"/>
              <w:szCs w:val="24"/>
            </w:rPr>
            <w:fldChar w:fldCharType="end"/>
          </w:r>
          <w:r>
            <w:rPr>
              <w:rFonts w:hint="eastAsia" w:ascii="黑体" w:hAnsi="黑体" w:eastAsia="黑体" w:cs="黑体"/>
              <w:bCs w:val="0"/>
              <w:color w:val="auto"/>
              <w:sz w:val="24"/>
              <w:szCs w:val="24"/>
              <w:lang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bCs/>
              <w:color w:val="auto"/>
              <w:kern w:val="2"/>
              <w:sz w:val="24"/>
              <w:szCs w:val="24"/>
              <w:lang w:val="en-US" w:eastAsia="zh-CN" w:bidi="ar-SA"/>
            </w:rPr>
          </w:pPr>
          <w:r>
            <w:rPr>
              <w:rFonts w:hint="eastAsia" w:ascii="黑体" w:hAnsi="黑体" w:eastAsia="黑体" w:cs="黑体"/>
              <w:bCs w:val="0"/>
              <w:color w:val="auto"/>
              <w:sz w:val="24"/>
              <w:szCs w:val="24"/>
              <w:lang w:eastAsia="zh-CN"/>
            </w:rPr>
            <w:fldChar w:fldCharType="end"/>
          </w:r>
        </w:p>
      </w:sdtContent>
    </w:sdt>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pStyle w:val="9"/>
        <w:tabs>
          <w:tab w:val="right" w:leader="dot" w:pos="8306"/>
        </w:tabs>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表 目 录</w:t>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TOC \t "表目录123,1" \h</w:instrText>
      </w:r>
      <w:r>
        <w:rPr>
          <w:rFonts w:hint="eastAsia" w:ascii="黑体" w:hAnsi="黑体" w:eastAsia="黑体" w:cs="黑体"/>
          <w:sz w:val="24"/>
          <w:szCs w:val="24"/>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_Toc21052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表1  教学单位与专业设置一览表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_Toc21052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_Toc27539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表2  硬件投入一览表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_Toc27539 \h </w:instrText>
      </w:r>
      <w:r>
        <w:rPr>
          <w:rFonts w:hint="eastAsia" w:ascii="黑体" w:hAnsi="黑体" w:eastAsia="黑体" w:cs="黑体"/>
          <w:sz w:val="24"/>
          <w:szCs w:val="24"/>
        </w:rPr>
        <w:fldChar w:fldCharType="separate"/>
      </w:r>
      <w:r>
        <w:rPr>
          <w:rFonts w:hint="eastAsia" w:ascii="黑体" w:hAnsi="黑体" w:eastAsia="黑体" w:cs="黑体"/>
          <w:sz w:val="24"/>
          <w:szCs w:val="24"/>
        </w:rPr>
        <w:t>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_Toc25112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表3  教师参加大赛获奖一览表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_Toc25112 \h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_Toc28313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表4  教师公开发表论文一览表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_Toc28313 \h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_Toc4562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表5  教师获批省、市级课题立项一览表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_Toc4562 \h </w:instrText>
      </w:r>
      <w:r>
        <w:rPr>
          <w:rFonts w:hint="eastAsia" w:ascii="黑体" w:hAnsi="黑体" w:eastAsia="黑体" w:cs="黑体"/>
          <w:sz w:val="24"/>
          <w:szCs w:val="24"/>
        </w:rPr>
        <w:fldChar w:fldCharType="separate"/>
      </w:r>
      <w:r>
        <w:rPr>
          <w:rFonts w:hint="eastAsia" w:ascii="黑体" w:hAnsi="黑体" w:eastAsia="黑体" w:cs="黑体"/>
          <w:sz w:val="24"/>
          <w:szCs w:val="24"/>
        </w:rPr>
        <w:t>12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_Toc17190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表6  教师获专利授权（含软著）一览表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_Toc17190 \h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_Toc16034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表7  教师科研与教学成果获奖一览表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_Toc16034 \h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_Toc15477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表8  学生资助情况一览表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_Toc15477 \h </w:instrText>
      </w:r>
      <w:r>
        <w:rPr>
          <w:rFonts w:hint="eastAsia" w:ascii="黑体" w:hAnsi="黑体" w:eastAsia="黑体" w:cs="黑体"/>
          <w:sz w:val="24"/>
          <w:szCs w:val="24"/>
        </w:rPr>
        <w:fldChar w:fldCharType="separate"/>
      </w:r>
      <w:r>
        <w:rPr>
          <w:rFonts w:hint="eastAsia" w:ascii="黑体" w:hAnsi="黑体" w:eastAsia="黑体" w:cs="黑体"/>
          <w:sz w:val="24"/>
          <w:szCs w:val="24"/>
        </w:rPr>
        <w:t>24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_Toc22037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表9  学生社团及其课程、活动情况一览表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_Toc22037 \h </w:instrText>
      </w:r>
      <w:r>
        <w:rPr>
          <w:rFonts w:hint="eastAsia" w:ascii="黑体" w:hAnsi="黑体" w:eastAsia="黑体" w:cs="黑体"/>
          <w:sz w:val="24"/>
          <w:szCs w:val="24"/>
        </w:rPr>
        <w:fldChar w:fldCharType="separate"/>
      </w:r>
      <w:r>
        <w:rPr>
          <w:rFonts w:hint="eastAsia" w:ascii="黑体" w:hAnsi="黑体" w:eastAsia="黑体" w:cs="黑体"/>
          <w:sz w:val="24"/>
          <w:szCs w:val="24"/>
        </w:rPr>
        <w:t>28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_Toc25631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表10  学生参加专业技能大赛获奖情况一览表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_Toc25631 \h </w:instrText>
      </w:r>
      <w:r>
        <w:rPr>
          <w:rFonts w:hint="eastAsia" w:ascii="黑体" w:hAnsi="黑体" w:eastAsia="黑体" w:cs="黑体"/>
          <w:sz w:val="24"/>
          <w:szCs w:val="24"/>
        </w:rPr>
        <w:fldChar w:fldCharType="separate"/>
      </w:r>
      <w:r>
        <w:rPr>
          <w:rFonts w:hint="eastAsia" w:ascii="黑体" w:hAnsi="黑体" w:eastAsia="黑体" w:cs="黑体"/>
          <w:sz w:val="24"/>
          <w:szCs w:val="24"/>
        </w:rPr>
        <w:t>36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_Toc11443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表11  学生参加文体大赛获奖情况一览表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_Toc11443 \h </w:instrText>
      </w:r>
      <w:r>
        <w:rPr>
          <w:rFonts w:hint="eastAsia" w:ascii="黑体" w:hAnsi="黑体" w:eastAsia="黑体" w:cs="黑体"/>
          <w:sz w:val="24"/>
          <w:szCs w:val="24"/>
        </w:rPr>
        <w:fldChar w:fldCharType="separate"/>
      </w:r>
      <w:r>
        <w:rPr>
          <w:rFonts w:hint="eastAsia" w:ascii="黑体" w:hAnsi="黑体" w:eastAsia="黑体" w:cs="黑体"/>
          <w:sz w:val="24"/>
          <w:szCs w:val="24"/>
        </w:rPr>
        <w:t>45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_Toc12433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表12  学生参加创新创业等大赛获奖情况一览表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_Toc12433 \h </w:instrText>
      </w:r>
      <w:r>
        <w:rPr>
          <w:rFonts w:hint="eastAsia" w:ascii="黑体" w:hAnsi="黑体" w:eastAsia="黑体" w:cs="黑体"/>
          <w:sz w:val="24"/>
          <w:szCs w:val="24"/>
        </w:rPr>
        <w:fldChar w:fldCharType="separate"/>
      </w:r>
      <w:r>
        <w:rPr>
          <w:rFonts w:hint="eastAsia" w:ascii="黑体" w:hAnsi="黑体" w:eastAsia="黑体" w:cs="黑体"/>
          <w:sz w:val="24"/>
          <w:szCs w:val="24"/>
        </w:rPr>
        <w:t>46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_Toc11030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表13  学生专升本录取情况一览表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_Toc11030 \h </w:instrText>
      </w:r>
      <w:r>
        <w:rPr>
          <w:rFonts w:hint="eastAsia" w:ascii="黑体" w:hAnsi="黑体" w:eastAsia="黑体" w:cs="黑体"/>
          <w:sz w:val="24"/>
          <w:szCs w:val="24"/>
        </w:rPr>
        <w:fldChar w:fldCharType="separate"/>
      </w:r>
      <w:r>
        <w:rPr>
          <w:rFonts w:hint="eastAsia" w:ascii="黑体" w:hAnsi="黑体" w:eastAsia="黑体" w:cs="黑体"/>
          <w:sz w:val="24"/>
          <w:szCs w:val="24"/>
        </w:rPr>
        <w:t>48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spacing w:line="360" w:lineRule="auto"/>
        <w:rPr>
          <w:rFonts w:hint="eastAsia" w:ascii="黑体" w:hAnsi="黑体" w:eastAsia="黑体" w:cs="黑体"/>
          <w:sz w:val="28"/>
          <w:szCs w:val="28"/>
        </w:rPr>
      </w:pPr>
      <w:r>
        <w:rPr>
          <w:rFonts w:hint="eastAsia" w:ascii="黑体" w:hAnsi="黑体" w:eastAsia="黑体" w:cs="黑体"/>
          <w:sz w:val="24"/>
          <w:szCs w:val="24"/>
        </w:rPr>
        <w:fldChar w:fldCharType="end"/>
      </w:r>
    </w:p>
    <w:p>
      <w:pPr>
        <w:rPr>
          <w:rFonts w:hint="eastAsia" w:ascii="黑体" w:hAnsi="黑体" w:eastAsia="黑体" w:cs="黑体"/>
          <w:sz w:val="28"/>
          <w:szCs w:val="28"/>
        </w:rPr>
      </w:pPr>
      <w:r>
        <w:rPr>
          <w:rFonts w:hint="eastAsia" w:ascii="黑体" w:hAnsi="黑体" w:eastAsia="黑体" w:cs="黑体"/>
          <w:sz w:val="28"/>
          <w:szCs w:val="28"/>
        </w:rPr>
        <w:br w:type="page"/>
      </w:r>
    </w:p>
    <w:p>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图 目 录</w:t>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TOC \t "图目录ABC,1" \h</w:instrText>
      </w:r>
      <w:r>
        <w:rPr>
          <w:rFonts w:hint="eastAsia" w:ascii="黑体" w:hAnsi="黑体" w:eastAsia="黑体" w:cs="黑体"/>
          <w:sz w:val="24"/>
          <w:szCs w:val="24"/>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_Toc23236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  统战部副部长陈武、教育厅副厅长石静等近200名领导莅临我校考察指导，参加民族文化交流节活动，学校党委书记叶昌伦在推进会上发言</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_Toc23236 \h </w:instrText>
      </w:r>
      <w:r>
        <w:rPr>
          <w:rFonts w:hint="eastAsia" w:ascii="黑体" w:hAnsi="黑体" w:eastAsia="黑体" w:cs="黑体"/>
          <w:sz w:val="24"/>
          <w:szCs w:val="24"/>
        </w:rPr>
        <w:fldChar w:fldCharType="separate"/>
      </w:r>
      <w:r>
        <w:rPr>
          <w:rFonts w:hint="eastAsia" w:ascii="黑体" w:hAnsi="黑体" w:eastAsia="黑体" w:cs="黑体"/>
          <w:sz w:val="24"/>
          <w:szCs w:val="24"/>
        </w:rPr>
        <w:t>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_Toc14422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  学校持续加强教师队伍建设，开展2023年度职称评审工作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_Toc14422 \h </w:instrText>
      </w:r>
      <w:r>
        <w:rPr>
          <w:rFonts w:hint="eastAsia" w:ascii="黑体" w:hAnsi="黑体" w:eastAsia="黑体" w:cs="黑体"/>
          <w:sz w:val="24"/>
          <w:szCs w:val="24"/>
        </w:rPr>
        <w:fldChar w:fldCharType="separate"/>
      </w:r>
      <w:r>
        <w:rPr>
          <w:rFonts w:hint="eastAsia" w:ascii="黑体" w:hAnsi="黑体" w:eastAsia="黑体" w:cs="黑体"/>
          <w:sz w:val="24"/>
          <w:szCs w:val="24"/>
        </w:rPr>
        <w:t>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_Toc26557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图3  学校以赛促教，常态化举办课程思政教学比赛、教学能力大赛</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_Toc26557 \h </w:instrText>
      </w:r>
      <w:r>
        <w:rPr>
          <w:rFonts w:hint="eastAsia" w:ascii="黑体" w:hAnsi="黑体" w:eastAsia="黑体" w:cs="黑体"/>
          <w:sz w:val="24"/>
          <w:szCs w:val="24"/>
        </w:rPr>
        <w:fldChar w:fldCharType="separate"/>
      </w:r>
      <w:r>
        <w:rPr>
          <w:rFonts w:hint="eastAsia" w:ascii="黑体" w:hAnsi="黑体" w:eastAsia="黑体" w:cs="黑体"/>
          <w:sz w:val="24"/>
          <w:szCs w:val="24"/>
        </w:rPr>
        <w:t>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_Toc15588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图4  学校英语教学团队荣获外语课程思政教学比赛一等奖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_Toc15588 \h </w:instrText>
      </w:r>
      <w:r>
        <w:rPr>
          <w:rFonts w:hint="eastAsia" w:ascii="黑体" w:hAnsi="黑体" w:eastAsia="黑体" w:cs="黑体"/>
          <w:sz w:val="24"/>
          <w:szCs w:val="24"/>
        </w:rPr>
        <w:fldChar w:fldCharType="separate"/>
      </w:r>
      <w:r>
        <w:rPr>
          <w:rFonts w:hint="eastAsia" w:ascii="黑体" w:hAnsi="黑体" w:eastAsia="黑体" w:cs="黑体"/>
          <w:sz w:val="24"/>
          <w:szCs w:val="24"/>
        </w:rPr>
        <w:t>17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_Toc8261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图5  学校持续深入开展诊改，常态化举办年度说诊改比赛</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_Toc8261 \h </w:instrText>
      </w:r>
      <w:r>
        <w:rPr>
          <w:rFonts w:hint="eastAsia" w:ascii="黑体" w:hAnsi="黑体" w:eastAsia="黑体" w:cs="黑体"/>
          <w:sz w:val="24"/>
          <w:szCs w:val="24"/>
        </w:rPr>
        <w:fldChar w:fldCharType="separate"/>
      </w:r>
      <w:r>
        <w:rPr>
          <w:rFonts w:hint="eastAsia" w:ascii="黑体" w:hAnsi="黑体" w:eastAsia="黑体" w:cs="黑体"/>
          <w:sz w:val="24"/>
          <w:szCs w:val="24"/>
        </w:rPr>
        <w:t>19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_Toc26326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图6  省委教育工委主题教育第二联络组到校列席中心组会议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_Toc26326 \h </w:instrText>
      </w:r>
      <w:r>
        <w:rPr>
          <w:rFonts w:hint="eastAsia" w:ascii="黑体" w:hAnsi="黑体" w:eastAsia="黑体" w:cs="黑体"/>
          <w:sz w:val="24"/>
          <w:szCs w:val="24"/>
        </w:rPr>
        <w:fldChar w:fldCharType="separate"/>
      </w:r>
      <w:r>
        <w:rPr>
          <w:rFonts w:hint="eastAsia" w:ascii="黑体" w:hAnsi="黑体" w:eastAsia="黑体" w:cs="黑体"/>
          <w:sz w:val="24"/>
          <w:szCs w:val="24"/>
        </w:rPr>
        <w:t>20</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_Toc13691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图7  学校党委与四川化院党委开展党建结对</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_Toc13691 \h </w:instrText>
      </w:r>
      <w:r>
        <w:rPr>
          <w:rFonts w:hint="eastAsia" w:ascii="黑体" w:hAnsi="黑体" w:eastAsia="黑体" w:cs="黑体"/>
          <w:sz w:val="24"/>
          <w:szCs w:val="24"/>
        </w:rPr>
        <w:fldChar w:fldCharType="separate"/>
      </w:r>
      <w:r>
        <w:rPr>
          <w:rFonts w:hint="eastAsia" w:ascii="黑体" w:hAnsi="黑体" w:eastAsia="黑体" w:cs="黑体"/>
          <w:sz w:val="24"/>
          <w:szCs w:val="24"/>
        </w:rPr>
        <w:t>21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_Toc17711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图8  学校党委副书记王华在四川省高校宣传部长培训会暨“三全育人”推进会上发言</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_Toc17711 \h </w:instrText>
      </w:r>
      <w:r>
        <w:rPr>
          <w:rFonts w:hint="eastAsia" w:ascii="黑体" w:hAnsi="黑体" w:eastAsia="黑体" w:cs="黑体"/>
          <w:sz w:val="24"/>
          <w:szCs w:val="24"/>
        </w:rPr>
        <w:fldChar w:fldCharType="separate"/>
      </w:r>
      <w:r>
        <w:rPr>
          <w:rFonts w:hint="eastAsia" w:ascii="黑体" w:hAnsi="黑体" w:eastAsia="黑体" w:cs="黑体"/>
          <w:sz w:val="24"/>
          <w:szCs w:val="24"/>
        </w:rPr>
        <w:t>24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_Toc15124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图9  学生开展心理健康教育主题班会</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_Toc15124 \h </w:instrText>
      </w:r>
      <w:r>
        <w:rPr>
          <w:rFonts w:hint="eastAsia" w:ascii="黑体" w:hAnsi="黑体" w:eastAsia="黑体" w:cs="黑体"/>
          <w:sz w:val="24"/>
          <w:szCs w:val="24"/>
        </w:rPr>
        <w:fldChar w:fldCharType="separate"/>
      </w:r>
      <w:r>
        <w:rPr>
          <w:rFonts w:hint="eastAsia" w:ascii="黑体" w:hAnsi="黑体" w:eastAsia="黑体" w:cs="黑体"/>
          <w:sz w:val="24"/>
          <w:szCs w:val="24"/>
        </w:rPr>
        <w:t>28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_Toc25237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图10  校红十字会开展学习活动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_Toc25237 \h </w:instrText>
      </w:r>
      <w:r>
        <w:rPr>
          <w:rFonts w:hint="eastAsia" w:ascii="黑体" w:hAnsi="黑体" w:eastAsia="黑体" w:cs="黑体"/>
          <w:sz w:val="24"/>
          <w:szCs w:val="24"/>
        </w:rPr>
        <w:fldChar w:fldCharType="separate"/>
      </w:r>
      <w:r>
        <w:rPr>
          <w:rFonts w:hint="eastAsia" w:ascii="黑体" w:hAnsi="黑体" w:eastAsia="黑体" w:cs="黑体"/>
          <w:sz w:val="24"/>
          <w:szCs w:val="24"/>
        </w:rPr>
        <w:t>32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_Toc10230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图11  “读·讲·行”三河经典阅读素质提升节启动仪式</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_Toc10230 \h </w:instrText>
      </w:r>
      <w:r>
        <w:rPr>
          <w:rFonts w:hint="eastAsia" w:ascii="黑体" w:hAnsi="黑体" w:eastAsia="黑体" w:cs="黑体"/>
          <w:sz w:val="24"/>
          <w:szCs w:val="24"/>
        </w:rPr>
        <w:fldChar w:fldCharType="separate"/>
      </w:r>
      <w:r>
        <w:rPr>
          <w:rFonts w:hint="eastAsia" w:ascii="黑体" w:hAnsi="黑体" w:eastAsia="黑体" w:cs="黑体"/>
          <w:sz w:val="24"/>
          <w:szCs w:val="24"/>
        </w:rPr>
        <w:t>33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_Toc24025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图12-1  优秀榜样周利敏</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_Toc24025 \h </w:instrText>
      </w:r>
      <w:r>
        <w:rPr>
          <w:rFonts w:hint="eastAsia" w:ascii="黑体" w:hAnsi="黑体" w:eastAsia="黑体" w:cs="黑体"/>
          <w:sz w:val="24"/>
          <w:szCs w:val="24"/>
        </w:rPr>
        <w:fldChar w:fldCharType="separate"/>
      </w:r>
      <w:r>
        <w:rPr>
          <w:rFonts w:hint="eastAsia" w:ascii="黑体" w:hAnsi="黑体" w:eastAsia="黑体" w:cs="黑体"/>
          <w:sz w:val="24"/>
          <w:szCs w:val="24"/>
        </w:rPr>
        <w:t>35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_Toc15623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图12-2  优秀榜样朱财源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_Toc15623 \h </w:instrText>
      </w:r>
      <w:r>
        <w:rPr>
          <w:rFonts w:hint="eastAsia" w:ascii="黑体" w:hAnsi="黑体" w:eastAsia="黑体" w:cs="黑体"/>
          <w:sz w:val="24"/>
          <w:szCs w:val="24"/>
        </w:rPr>
        <w:fldChar w:fldCharType="separate"/>
      </w:r>
      <w:r>
        <w:rPr>
          <w:rFonts w:hint="eastAsia" w:ascii="黑体" w:hAnsi="黑体" w:eastAsia="黑体" w:cs="黑体"/>
          <w:sz w:val="24"/>
          <w:szCs w:val="24"/>
        </w:rPr>
        <w:t>36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_Toc9253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图13  我校经管学子参加2023年省级学生技能大赛</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_Toc9253 \h </w:instrText>
      </w:r>
      <w:r>
        <w:rPr>
          <w:rFonts w:hint="eastAsia" w:ascii="黑体" w:hAnsi="黑体" w:eastAsia="黑体" w:cs="黑体"/>
          <w:sz w:val="24"/>
          <w:szCs w:val="24"/>
        </w:rPr>
        <w:fldChar w:fldCharType="separate"/>
      </w:r>
      <w:r>
        <w:rPr>
          <w:rFonts w:hint="eastAsia" w:ascii="黑体" w:hAnsi="黑体" w:eastAsia="黑体" w:cs="黑体"/>
          <w:sz w:val="24"/>
          <w:szCs w:val="24"/>
        </w:rPr>
        <w:t>44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_Toc2884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图14  我校返乡创业助农致富学生沈尔弟接受四川发布专访</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_Toc2884 \h </w:instrText>
      </w:r>
      <w:r>
        <w:rPr>
          <w:rFonts w:hint="eastAsia" w:ascii="黑体" w:hAnsi="黑体" w:eastAsia="黑体" w:cs="黑体"/>
          <w:sz w:val="24"/>
          <w:szCs w:val="24"/>
        </w:rPr>
        <w:fldChar w:fldCharType="separate"/>
      </w:r>
      <w:r>
        <w:rPr>
          <w:rFonts w:hint="eastAsia" w:ascii="黑体" w:hAnsi="黑体" w:eastAsia="黑体" w:cs="黑体"/>
          <w:sz w:val="24"/>
          <w:szCs w:val="24"/>
        </w:rPr>
        <w:t>48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_Toc16688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图15  麦可思公司出具学校2023年毕业生就业质量年度报告</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_Toc16688 \h </w:instrText>
      </w:r>
      <w:r>
        <w:rPr>
          <w:rFonts w:hint="eastAsia" w:ascii="黑体" w:hAnsi="黑体" w:eastAsia="黑体" w:cs="黑体"/>
          <w:sz w:val="24"/>
          <w:szCs w:val="24"/>
        </w:rPr>
        <w:fldChar w:fldCharType="separate"/>
      </w:r>
      <w:r>
        <w:rPr>
          <w:rFonts w:hint="eastAsia" w:ascii="黑体" w:hAnsi="黑体" w:eastAsia="黑体" w:cs="黑体"/>
          <w:sz w:val="24"/>
          <w:szCs w:val="24"/>
        </w:rPr>
        <w:t>49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_Toc23432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图16  党委书记叶昌伦开展书记校长联系百家企业活动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_Toc23432 \h </w:instrText>
      </w:r>
      <w:r>
        <w:rPr>
          <w:rFonts w:hint="eastAsia" w:ascii="黑体" w:hAnsi="黑体" w:eastAsia="黑体" w:cs="黑体"/>
          <w:sz w:val="24"/>
          <w:szCs w:val="24"/>
        </w:rPr>
        <w:fldChar w:fldCharType="separate"/>
      </w:r>
      <w:r>
        <w:rPr>
          <w:rFonts w:hint="eastAsia" w:ascii="黑体" w:hAnsi="黑体" w:eastAsia="黑体" w:cs="黑体"/>
          <w:sz w:val="24"/>
          <w:szCs w:val="24"/>
        </w:rPr>
        <w:t>50</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_Toc7772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图17  校长彭方弟开展书记校长联系百家企业活动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_Toc7772 \h </w:instrText>
      </w:r>
      <w:r>
        <w:rPr>
          <w:rFonts w:hint="eastAsia" w:ascii="黑体" w:hAnsi="黑体" w:eastAsia="黑体" w:cs="黑体"/>
          <w:sz w:val="24"/>
          <w:szCs w:val="24"/>
        </w:rPr>
        <w:fldChar w:fldCharType="separate"/>
      </w:r>
      <w:r>
        <w:rPr>
          <w:rFonts w:hint="eastAsia" w:ascii="黑体" w:hAnsi="黑体" w:eastAsia="黑体" w:cs="黑体"/>
          <w:sz w:val="24"/>
          <w:szCs w:val="24"/>
        </w:rPr>
        <w:t>51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_Toc3514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图18  卫生健康学院与合作医院开展“工学交替”共同培养学生</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_Toc3514 \h </w:instrText>
      </w:r>
      <w:r>
        <w:rPr>
          <w:rFonts w:hint="eastAsia" w:ascii="黑体" w:hAnsi="黑体" w:eastAsia="黑体" w:cs="黑体"/>
          <w:sz w:val="24"/>
          <w:szCs w:val="24"/>
        </w:rPr>
        <w:fldChar w:fldCharType="separate"/>
      </w:r>
      <w:r>
        <w:rPr>
          <w:rFonts w:hint="eastAsia" w:ascii="黑体" w:hAnsi="黑体" w:eastAsia="黑体" w:cs="黑体"/>
          <w:sz w:val="24"/>
          <w:szCs w:val="24"/>
        </w:rPr>
        <w:t>56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_Toc4033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图19  经济管理学院与合作企业开展课程“订单式”培养</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_Toc4033 \h </w:instrText>
      </w:r>
      <w:r>
        <w:rPr>
          <w:rFonts w:hint="eastAsia" w:ascii="黑体" w:hAnsi="黑体" w:eastAsia="黑体" w:cs="黑体"/>
          <w:sz w:val="24"/>
          <w:szCs w:val="24"/>
        </w:rPr>
        <w:fldChar w:fldCharType="separate"/>
      </w:r>
      <w:r>
        <w:rPr>
          <w:rFonts w:hint="eastAsia" w:ascii="黑体" w:hAnsi="黑体" w:eastAsia="黑体" w:cs="黑体"/>
          <w:sz w:val="24"/>
          <w:szCs w:val="24"/>
        </w:rPr>
        <w:t>57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_Toc29240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图20  现代农业技术学院与合作单位开展学生专项技能实践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_Toc29240 \h </w:instrText>
      </w:r>
      <w:r>
        <w:rPr>
          <w:rFonts w:hint="eastAsia" w:ascii="黑体" w:hAnsi="黑体" w:eastAsia="黑体" w:cs="黑体"/>
          <w:sz w:val="24"/>
          <w:szCs w:val="24"/>
        </w:rPr>
        <w:fldChar w:fldCharType="separate"/>
      </w:r>
      <w:r>
        <w:rPr>
          <w:rFonts w:hint="eastAsia" w:ascii="黑体" w:hAnsi="黑体" w:eastAsia="黑体" w:cs="黑体"/>
          <w:sz w:val="24"/>
          <w:szCs w:val="24"/>
        </w:rPr>
        <w:t>58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_Toc18015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图21  工程技术学院现代学徒制试点班级开展总结表彰会</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_Toc18015 \h </w:instrText>
      </w:r>
      <w:r>
        <w:rPr>
          <w:rFonts w:hint="eastAsia" w:ascii="黑体" w:hAnsi="黑体" w:eastAsia="黑体" w:cs="黑体"/>
          <w:sz w:val="24"/>
          <w:szCs w:val="24"/>
        </w:rPr>
        <w:fldChar w:fldCharType="separate"/>
      </w:r>
      <w:r>
        <w:rPr>
          <w:rFonts w:hint="eastAsia" w:ascii="黑体" w:hAnsi="黑体" w:eastAsia="黑体" w:cs="黑体"/>
          <w:sz w:val="24"/>
          <w:szCs w:val="24"/>
        </w:rPr>
        <w:t>59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_Toc30642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图22  学前教育学院学生到幼儿园开展见习研习</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_Toc30642 \h </w:instrText>
      </w:r>
      <w:r>
        <w:rPr>
          <w:rFonts w:hint="eastAsia" w:ascii="黑体" w:hAnsi="黑体" w:eastAsia="黑体" w:cs="黑体"/>
          <w:sz w:val="24"/>
          <w:szCs w:val="24"/>
        </w:rPr>
        <w:fldChar w:fldCharType="separate"/>
      </w:r>
      <w:r>
        <w:rPr>
          <w:rFonts w:hint="eastAsia" w:ascii="黑体" w:hAnsi="黑体" w:eastAsia="黑体" w:cs="黑体"/>
          <w:sz w:val="24"/>
          <w:szCs w:val="24"/>
        </w:rPr>
        <w:t>59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_Toc14610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图23  学校开展劳务品牌培训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_Toc14610 \h </w:instrText>
      </w:r>
      <w:r>
        <w:rPr>
          <w:rFonts w:hint="eastAsia" w:ascii="黑体" w:hAnsi="黑体" w:eastAsia="黑体" w:cs="黑体"/>
          <w:sz w:val="24"/>
          <w:szCs w:val="24"/>
        </w:rPr>
        <w:fldChar w:fldCharType="separate"/>
      </w:r>
      <w:r>
        <w:rPr>
          <w:rFonts w:hint="eastAsia" w:ascii="黑体" w:hAnsi="黑体" w:eastAsia="黑体" w:cs="黑体"/>
          <w:sz w:val="24"/>
          <w:szCs w:val="24"/>
        </w:rPr>
        <w:t>61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_Toc6361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图24  学校开展村社干部培训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_Toc6361 \h </w:instrText>
      </w:r>
      <w:r>
        <w:rPr>
          <w:rFonts w:hint="eastAsia" w:ascii="黑体" w:hAnsi="黑体" w:eastAsia="黑体" w:cs="黑体"/>
          <w:sz w:val="24"/>
          <w:szCs w:val="24"/>
        </w:rPr>
        <w:fldChar w:fldCharType="separate"/>
      </w:r>
      <w:r>
        <w:rPr>
          <w:rFonts w:hint="eastAsia" w:ascii="黑体" w:hAnsi="黑体" w:eastAsia="黑体" w:cs="黑体"/>
          <w:sz w:val="24"/>
          <w:szCs w:val="24"/>
        </w:rPr>
        <w:t>61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_Toc25088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图25  学校对社区矫正人员开展职业技能培训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_Toc25088 \h </w:instrText>
      </w:r>
      <w:r>
        <w:rPr>
          <w:rFonts w:hint="eastAsia" w:ascii="黑体" w:hAnsi="黑体" w:eastAsia="黑体" w:cs="黑体"/>
          <w:sz w:val="24"/>
          <w:szCs w:val="24"/>
        </w:rPr>
        <w:fldChar w:fldCharType="separate"/>
      </w:r>
      <w:r>
        <w:rPr>
          <w:rFonts w:hint="eastAsia" w:ascii="黑体" w:hAnsi="黑体" w:eastAsia="黑体" w:cs="黑体"/>
          <w:sz w:val="24"/>
          <w:szCs w:val="24"/>
        </w:rPr>
        <w:t>62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_Toc4235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图26  学校开展自主就业退役士兵适应性培训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_Toc4235 \h </w:instrText>
      </w:r>
      <w:r>
        <w:rPr>
          <w:rFonts w:hint="eastAsia" w:ascii="黑体" w:hAnsi="黑体" w:eastAsia="黑体" w:cs="黑体"/>
          <w:sz w:val="24"/>
          <w:szCs w:val="24"/>
        </w:rPr>
        <w:fldChar w:fldCharType="separate"/>
      </w:r>
      <w:r>
        <w:rPr>
          <w:rFonts w:hint="eastAsia" w:ascii="黑体" w:hAnsi="黑体" w:eastAsia="黑体" w:cs="黑体"/>
          <w:sz w:val="24"/>
          <w:szCs w:val="24"/>
        </w:rPr>
        <w:t>63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_Toc23700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图27  学校开展基层农技人员培训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_Toc23700 \h </w:instrText>
      </w:r>
      <w:r>
        <w:rPr>
          <w:rFonts w:hint="eastAsia" w:ascii="黑体" w:hAnsi="黑体" w:eastAsia="黑体" w:cs="黑体"/>
          <w:sz w:val="24"/>
          <w:szCs w:val="24"/>
        </w:rPr>
        <w:fldChar w:fldCharType="separate"/>
      </w:r>
      <w:r>
        <w:rPr>
          <w:rFonts w:hint="eastAsia" w:ascii="黑体" w:hAnsi="黑体" w:eastAsia="黑体" w:cs="黑体"/>
          <w:sz w:val="24"/>
          <w:szCs w:val="24"/>
        </w:rPr>
        <w:t>63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_Toc20586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图28  学校开展高素质农民培育</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_Toc20586 \h </w:instrText>
      </w:r>
      <w:r>
        <w:rPr>
          <w:rFonts w:hint="eastAsia" w:ascii="黑体" w:hAnsi="黑体" w:eastAsia="黑体" w:cs="黑体"/>
          <w:sz w:val="24"/>
          <w:szCs w:val="24"/>
        </w:rPr>
        <w:fldChar w:fldCharType="separate"/>
      </w:r>
      <w:r>
        <w:rPr>
          <w:rFonts w:hint="eastAsia" w:ascii="黑体" w:hAnsi="黑体" w:eastAsia="黑体" w:cs="黑体"/>
          <w:sz w:val="24"/>
          <w:szCs w:val="24"/>
        </w:rPr>
        <w:t>64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_Toc4170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图29  高素质农民知识、技能更新培训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_Toc4170 \h </w:instrText>
      </w:r>
      <w:r>
        <w:rPr>
          <w:rFonts w:hint="eastAsia" w:ascii="黑体" w:hAnsi="黑体" w:eastAsia="黑体" w:cs="黑体"/>
          <w:sz w:val="24"/>
          <w:szCs w:val="24"/>
        </w:rPr>
        <w:fldChar w:fldCharType="separate"/>
      </w:r>
      <w:r>
        <w:rPr>
          <w:rFonts w:hint="eastAsia" w:ascii="黑体" w:hAnsi="黑体" w:eastAsia="黑体" w:cs="黑体"/>
          <w:sz w:val="24"/>
          <w:szCs w:val="24"/>
        </w:rPr>
        <w:t>65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_Toc21746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图30  学校开展“黄丝带•同心帮教”职业技能培训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_Toc21746 \h </w:instrText>
      </w:r>
      <w:r>
        <w:rPr>
          <w:rFonts w:hint="eastAsia" w:ascii="黑体" w:hAnsi="黑体" w:eastAsia="黑体" w:cs="黑体"/>
          <w:sz w:val="24"/>
          <w:szCs w:val="24"/>
        </w:rPr>
        <w:fldChar w:fldCharType="separate"/>
      </w:r>
      <w:r>
        <w:rPr>
          <w:rFonts w:hint="eastAsia" w:ascii="黑体" w:hAnsi="黑体" w:eastAsia="黑体" w:cs="黑体"/>
          <w:sz w:val="24"/>
          <w:szCs w:val="24"/>
        </w:rPr>
        <w:t>66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jc w:val="center"/>
        <w:rPr>
          <w:rFonts w:hint="eastAsia" w:ascii="黑体" w:hAnsi="黑体" w:eastAsia="黑体" w:cs="黑体"/>
          <w:sz w:val="24"/>
          <w:szCs w:val="24"/>
        </w:rPr>
      </w:pPr>
      <w:r>
        <w:rPr>
          <w:rFonts w:hint="eastAsia" w:ascii="黑体" w:hAnsi="黑体" w:eastAsia="黑体" w:cs="黑体"/>
          <w:sz w:val="24"/>
          <w:szCs w:val="24"/>
        </w:rPr>
        <w:fldChar w:fldCharType="end"/>
      </w:r>
    </w:p>
    <w:p>
      <w:pPr>
        <w:rPr>
          <w:rFonts w:hint="eastAsia" w:ascii="黑体" w:hAnsi="黑体" w:eastAsia="黑体" w:cs="黑体"/>
          <w:sz w:val="24"/>
          <w:szCs w:val="24"/>
        </w:rPr>
      </w:pPr>
      <w:r>
        <w:rPr>
          <w:rFonts w:hint="eastAsia" w:ascii="黑体" w:hAnsi="黑体" w:eastAsia="黑体" w:cs="黑体"/>
          <w:sz w:val="24"/>
          <w:szCs w:val="24"/>
        </w:rPr>
        <w:br w:type="page"/>
      </w:r>
    </w:p>
    <w:p>
      <w:pPr>
        <w:pStyle w:val="9"/>
        <w:tabs>
          <w:tab w:val="right" w:leader="dot" w:pos="8306"/>
        </w:tabs>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案 例 目 录</w:t>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TOC \t "案例目录789,1" \h</w:instrText>
      </w:r>
      <w:r>
        <w:rPr>
          <w:rFonts w:hint="eastAsia" w:ascii="黑体" w:hAnsi="黑体" w:eastAsia="黑体" w:cs="黑体"/>
          <w:sz w:val="24"/>
          <w:szCs w:val="24"/>
        </w:rP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_Toc27645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_Toc27645 \h </w:instrText>
      </w:r>
      <w:r>
        <w:rPr>
          <w:rFonts w:hint="eastAsia" w:ascii="黑体" w:hAnsi="黑体" w:eastAsia="黑体" w:cs="黑体"/>
          <w:sz w:val="24"/>
          <w:szCs w:val="24"/>
        </w:rPr>
        <w:fldChar w:fldCharType="separate"/>
      </w:r>
      <w:r>
        <w:rPr>
          <w:rFonts w:hint="eastAsia" w:ascii="黑体" w:hAnsi="黑体" w:eastAsia="黑体" w:cs="黑体"/>
          <w:sz w:val="24"/>
          <w:szCs w:val="24"/>
        </w:rPr>
        <w:t>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_Toc7388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全省统战工作战线近两百名领导莅临我校考察指导</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_Toc7388 \h </w:instrText>
      </w:r>
      <w:r>
        <w:rPr>
          <w:rFonts w:hint="eastAsia" w:ascii="黑体" w:hAnsi="黑体" w:eastAsia="黑体" w:cs="黑体"/>
          <w:sz w:val="24"/>
          <w:szCs w:val="24"/>
        </w:rPr>
        <w:fldChar w:fldCharType="separate"/>
      </w:r>
      <w:r>
        <w:rPr>
          <w:rFonts w:hint="eastAsia" w:ascii="黑体" w:hAnsi="黑体" w:eastAsia="黑体" w:cs="黑体"/>
          <w:sz w:val="24"/>
          <w:szCs w:val="24"/>
        </w:rPr>
        <w:t>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_Toc9368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典型案例2：</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_Toc9368 \h </w:instrText>
      </w:r>
      <w:r>
        <w:rPr>
          <w:rFonts w:hint="eastAsia" w:ascii="黑体" w:hAnsi="黑体" w:eastAsia="黑体" w:cs="黑体"/>
          <w:sz w:val="24"/>
          <w:szCs w:val="24"/>
        </w:rPr>
        <w:fldChar w:fldCharType="separate"/>
      </w:r>
      <w:r>
        <w:rPr>
          <w:rFonts w:hint="eastAsia" w:ascii="黑体" w:hAnsi="黑体" w:eastAsia="黑体" w:cs="黑体"/>
          <w:sz w:val="24"/>
          <w:szCs w:val="24"/>
        </w:rPr>
        <w:t>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_Toc11786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用外国语言讲好中国故事  勇夺外语课程思政教学比赛大奖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_Toc11786 \h </w:instrText>
      </w:r>
      <w:r>
        <w:rPr>
          <w:rFonts w:hint="eastAsia" w:ascii="黑体" w:hAnsi="黑体" w:eastAsia="黑体" w:cs="黑体"/>
          <w:sz w:val="24"/>
          <w:szCs w:val="24"/>
        </w:rPr>
        <w:fldChar w:fldCharType="separate"/>
      </w:r>
      <w:r>
        <w:rPr>
          <w:rFonts w:hint="eastAsia" w:ascii="黑体" w:hAnsi="黑体" w:eastAsia="黑体" w:cs="黑体"/>
          <w:sz w:val="24"/>
          <w:szCs w:val="24"/>
        </w:rPr>
        <w:t>16</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_Toc8367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典型案例3：</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_Toc8367 \h </w:instrText>
      </w:r>
      <w:r>
        <w:rPr>
          <w:rFonts w:hint="eastAsia" w:ascii="黑体" w:hAnsi="黑体" w:eastAsia="黑体" w:cs="黑体"/>
          <w:sz w:val="24"/>
          <w:szCs w:val="24"/>
        </w:rPr>
        <w:fldChar w:fldCharType="separate"/>
      </w:r>
      <w:r>
        <w:rPr>
          <w:rFonts w:hint="eastAsia" w:ascii="黑体" w:hAnsi="黑体" w:eastAsia="黑体" w:cs="黑体"/>
          <w:sz w:val="24"/>
          <w:szCs w:val="24"/>
        </w:rPr>
        <w:t>18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_Toc2307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学校常态化举办年度说诊改比赛</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_Toc2307 \h </w:instrText>
      </w:r>
      <w:r>
        <w:rPr>
          <w:rFonts w:hint="eastAsia" w:ascii="黑体" w:hAnsi="黑体" w:eastAsia="黑体" w:cs="黑体"/>
          <w:sz w:val="24"/>
          <w:szCs w:val="24"/>
        </w:rPr>
        <w:fldChar w:fldCharType="separate"/>
      </w:r>
      <w:r>
        <w:rPr>
          <w:rFonts w:hint="eastAsia" w:ascii="黑体" w:hAnsi="黑体" w:eastAsia="黑体" w:cs="黑体"/>
          <w:sz w:val="24"/>
          <w:szCs w:val="24"/>
        </w:rPr>
        <w:t>18</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_Toc1965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典型案例4：</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_Toc1965 \h </w:instrText>
      </w:r>
      <w:r>
        <w:rPr>
          <w:rFonts w:hint="eastAsia" w:ascii="黑体" w:hAnsi="黑体" w:eastAsia="黑体" w:cs="黑体"/>
          <w:sz w:val="24"/>
          <w:szCs w:val="24"/>
        </w:rPr>
        <w:fldChar w:fldCharType="separate"/>
      </w:r>
      <w:r>
        <w:rPr>
          <w:rFonts w:hint="eastAsia" w:ascii="黑体" w:hAnsi="黑体" w:eastAsia="黑体" w:cs="黑体"/>
          <w:sz w:val="24"/>
          <w:szCs w:val="24"/>
        </w:rPr>
        <w:t>22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_Toc15213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学校在四川省高校宣传部长培训会暨“三全育人”推进会上</w:t>
      </w:r>
      <w:r>
        <w:rPr>
          <w:rFonts w:hint="eastAsia" w:ascii="黑体" w:hAnsi="黑体" w:eastAsia="黑体" w:cs="黑体"/>
          <w:sz w:val="24"/>
          <w:szCs w:val="24"/>
        </w:rPr>
        <w:fldChar w:fldCharType="end"/>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_Toc19682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作经验交流发言</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_Toc19682 \h </w:instrText>
      </w:r>
      <w:r>
        <w:rPr>
          <w:rFonts w:hint="eastAsia" w:ascii="黑体" w:hAnsi="黑体" w:eastAsia="黑体" w:cs="黑体"/>
          <w:sz w:val="24"/>
          <w:szCs w:val="24"/>
        </w:rPr>
        <w:fldChar w:fldCharType="separate"/>
      </w:r>
      <w:r>
        <w:rPr>
          <w:rFonts w:hint="eastAsia" w:ascii="黑体" w:hAnsi="黑体" w:eastAsia="黑体" w:cs="黑体"/>
          <w:sz w:val="24"/>
          <w:szCs w:val="24"/>
        </w:rPr>
        <w:t>22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_Toc7828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典型案例5：</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_Toc7828 \h </w:instrText>
      </w:r>
      <w:r>
        <w:rPr>
          <w:rFonts w:hint="eastAsia" w:ascii="黑体" w:hAnsi="黑体" w:eastAsia="黑体" w:cs="黑体"/>
          <w:sz w:val="24"/>
          <w:szCs w:val="24"/>
        </w:rPr>
        <w:fldChar w:fldCharType="separate"/>
      </w:r>
      <w:r>
        <w:rPr>
          <w:rFonts w:hint="eastAsia" w:ascii="黑体" w:hAnsi="黑体" w:eastAsia="黑体" w:cs="黑体"/>
          <w:sz w:val="24"/>
          <w:szCs w:val="24"/>
        </w:rPr>
        <w:t>27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_Toc12989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依托朋辈群体活动开展创新心育工作</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_Toc12989 \h </w:instrText>
      </w:r>
      <w:r>
        <w:rPr>
          <w:rFonts w:hint="eastAsia" w:ascii="黑体" w:hAnsi="黑体" w:eastAsia="黑体" w:cs="黑体"/>
          <w:sz w:val="24"/>
          <w:szCs w:val="24"/>
        </w:rPr>
        <w:fldChar w:fldCharType="separate"/>
      </w:r>
      <w:r>
        <w:rPr>
          <w:rFonts w:hint="eastAsia" w:ascii="黑体" w:hAnsi="黑体" w:eastAsia="黑体" w:cs="黑体"/>
          <w:sz w:val="24"/>
          <w:szCs w:val="24"/>
        </w:rPr>
        <w:t>27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_Toc18482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典型案例6:</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_Toc18482 \h </w:instrText>
      </w:r>
      <w:r>
        <w:rPr>
          <w:rFonts w:hint="eastAsia" w:ascii="黑体" w:hAnsi="黑体" w:eastAsia="黑体" w:cs="黑体"/>
          <w:sz w:val="24"/>
          <w:szCs w:val="24"/>
        </w:rPr>
        <w:fldChar w:fldCharType="separate"/>
      </w:r>
      <w:r>
        <w:rPr>
          <w:rFonts w:hint="eastAsia" w:ascii="黑体" w:hAnsi="黑体" w:eastAsia="黑体" w:cs="黑体"/>
          <w:sz w:val="24"/>
          <w:szCs w:val="24"/>
        </w:rPr>
        <w:t>31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_Toc2289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学校红十字会以“三项行动”为抓手  不断提升工作水平和服务能力</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_Toc2289 \h </w:instrText>
      </w:r>
      <w:r>
        <w:rPr>
          <w:rFonts w:hint="eastAsia" w:ascii="黑体" w:hAnsi="黑体" w:eastAsia="黑体" w:cs="黑体"/>
          <w:sz w:val="24"/>
          <w:szCs w:val="24"/>
        </w:rPr>
        <w:fldChar w:fldCharType="separate"/>
      </w:r>
      <w:r>
        <w:rPr>
          <w:rFonts w:hint="eastAsia" w:ascii="黑体" w:hAnsi="黑体" w:eastAsia="黑体" w:cs="黑体"/>
          <w:sz w:val="24"/>
          <w:szCs w:val="24"/>
        </w:rPr>
        <w:t>31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_Toc7821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典型案例7：</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_Toc7821 \h </w:instrText>
      </w:r>
      <w:r>
        <w:rPr>
          <w:rFonts w:hint="eastAsia" w:ascii="黑体" w:hAnsi="黑体" w:eastAsia="黑体" w:cs="黑体"/>
          <w:sz w:val="24"/>
          <w:szCs w:val="24"/>
        </w:rPr>
        <w:fldChar w:fldCharType="separate"/>
      </w:r>
      <w:r>
        <w:rPr>
          <w:rFonts w:hint="eastAsia" w:ascii="黑体" w:hAnsi="黑体" w:eastAsia="黑体" w:cs="黑体"/>
          <w:sz w:val="24"/>
          <w:szCs w:val="24"/>
        </w:rPr>
        <w:t>32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_Toc1183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学校举办“读·讲·行”三河经典阅读素质提升节</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_Toc1183 \h </w:instrText>
      </w:r>
      <w:r>
        <w:rPr>
          <w:rFonts w:hint="eastAsia" w:ascii="黑体" w:hAnsi="黑体" w:eastAsia="黑体" w:cs="黑体"/>
          <w:sz w:val="24"/>
          <w:szCs w:val="24"/>
        </w:rPr>
        <w:fldChar w:fldCharType="separate"/>
      </w:r>
      <w:r>
        <w:rPr>
          <w:rFonts w:hint="eastAsia" w:ascii="黑体" w:hAnsi="黑体" w:eastAsia="黑体" w:cs="黑体"/>
          <w:sz w:val="24"/>
          <w:szCs w:val="24"/>
        </w:rPr>
        <w:t>32</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_Toc4712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典型案例8-1：</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_Toc4712 \h </w:instrText>
      </w:r>
      <w:r>
        <w:rPr>
          <w:rFonts w:hint="eastAsia" w:ascii="黑体" w:hAnsi="黑体" w:eastAsia="黑体" w:cs="黑体"/>
          <w:sz w:val="24"/>
          <w:szCs w:val="24"/>
        </w:rPr>
        <w:fldChar w:fldCharType="separate"/>
      </w:r>
      <w:r>
        <w:rPr>
          <w:rFonts w:hint="eastAsia" w:ascii="黑体" w:hAnsi="黑体" w:eastAsia="黑体" w:cs="黑体"/>
          <w:sz w:val="24"/>
          <w:szCs w:val="24"/>
        </w:rPr>
        <w:t>34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_Toc19197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榜样的力量——周利敏</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_Toc19197 \h </w:instrText>
      </w:r>
      <w:r>
        <w:rPr>
          <w:rFonts w:hint="eastAsia" w:ascii="黑体" w:hAnsi="黑体" w:eastAsia="黑体" w:cs="黑体"/>
          <w:sz w:val="24"/>
          <w:szCs w:val="24"/>
        </w:rPr>
        <w:fldChar w:fldCharType="separate"/>
      </w:r>
      <w:r>
        <w:rPr>
          <w:rFonts w:hint="eastAsia" w:ascii="黑体" w:hAnsi="黑体" w:eastAsia="黑体" w:cs="黑体"/>
          <w:sz w:val="24"/>
          <w:szCs w:val="24"/>
        </w:rPr>
        <w:t>34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_Toc21916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典型案例8-2：</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_Toc21916 \h </w:instrText>
      </w:r>
      <w:r>
        <w:rPr>
          <w:rFonts w:hint="eastAsia" w:ascii="黑体" w:hAnsi="黑体" w:eastAsia="黑体" w:cs="黑体"/>
          <w:sz w:val="24"/>
          <w:szCs w:val="24"/>
        </w:rPr>
        <w:fldChar w:fldCharType="separate"/>
      </w:r>
      <w:r>
        <w:rPr>
          <w:rFonts w:hint="eastAsia" w:ascii="黑体" w:hAnsi="黑体" w:eastAsia="黑体" w:cs="黑体"/>
          <w:sz w:val="24"/>
          <w:szCs w:val="24"/>
        </w:rPr>
        <w:t>35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_Toc18967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榜样的力量——朱财源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_Toc18967 \h </w:instrText>
      </w:r>
      <w:r>
        <w:rPr>
          <w:rFonts w:hint="eastAsia" w:ascii="黑体" w:hAnsi="黑体" w:eastAsia="黑体" w:cs="黑体"/>
          <w:sz w:val="24"/>
          <w:szCs w:val="24"/>
        </w:rPr>
        <w:fldChar w:fldCharType="separate"/>
      </w:r>
      <w:r>
        <w:rPr>
          <w:rFonts w:hint="eastAsia" w:ascii="黑体" w:hAnsi="黑体" w:eastAsia="黑体" w:cs="黑体"/>
          <w:sz w:val="24"/>
          <w:szCs w:val="24"/>
        </w:rPr>
        <w:t>35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_Toc23378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典型案例9：</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_Toc23378 \h </w:instrText>
      </w:r>
      <w:r>
        <w:rPr>
          <w:rFonts w:hint="eastAsia" w:ascii="黑体" w:hAnsi="黑体" w:eastAsia="黑体" w:cs="黑体"/>
          <w:sz w:val="24"/>
          <w:szCs w:val="24"/>
        </w:rPr>
        <w:fldChar w:fldCharType="separate"/>
      </w:r>
      <w:r>
        <w:rPr>
          <w:rFonts w:hint="eastAsia" w:ascii="黑体" w:hAnsi="黑体" w:eastAsia="黑体" w:cs="黑体"/>
          <w:sz w:val="24"/>
          <w:szCs w:val="24"/>
        </w:rPr>
        <w:t>43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_Toc6288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新商科探索实践“课赛融合”出成效</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_Toc6288 \h </w:instrText>
      </w:r>
      <w:r>
        <w:rPr>
          <w:rFonts w:hint="eastAsia" w:ascii="黑体" w:hAnsi="黑体" w:eastAsia="黑体" w:cs="黑体"/>
          <w:sz w:val="24"/>
          <w:szCs w:val="24"/>
        </w:rPr>
        <w:fldChar w:fldCharType="separate"/>
      </w:r>
      <w:r>
        <w:rPr>
          <w:rFonts w:hint="eastAsia" w:ascii="黑体" w:hAnsi="黑体" w:eastAsia="黑体" w:cs="黑体"/>
          <w:sz w:val="24"/>
          <w:szCs w:val="24"/>
        </w:rPr>
        <w:t>43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_Toc5941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典型案例10：</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_Toc5941 \h </w:instrText>
      </w:r>
      <w:r>
        <w:rPr>
          <w:rFonts w:hint="eastAsia" w:ascii="黑体" w:hAnsi="黑体" w:eastAsia="黑体" w:cs="黑体"/>
          <w:sz w:val="24"/>
          <w:szCs w:val="24"/>
        </w:rPr>
        <w:fldChar w:fldCharType="separate"/>
      </w:r>
      <w:r>
        <w:rPr>
          <w:rFonts w:hint="eastAsia" w:ascii="黑体" w:hAnsi="黑体" w:eastAsia="黑体" w:cs="黑体"/>
          <w:sz w:val="24"/>
          <w:szCs w:val="24"/>
        </w:rPr>
        <w:t>44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_Toc7324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 xml:space="preserve">强化数学应用意识  赛教融合频出成效 </w:t>
      </w:r>
      <w:r>
        <w:rPr>
          <w:rFonts w:hint="eastAsia" w:ascii="黑体" w:hAnsi="黑体" w:eastAsia="黑体" w:cs="黑体"/>
          <w:sz w:val="24"/>
          <w:szCs w:val="24"/>
        </w:rPr>
        <w:fldChar w:fldCharType="end"/>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_Toc23320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我校学子连续五年荣获全国大学生数学建模竞赛大奖</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_Toc23320 \h </w:instrText>
      </w:r>
      <w:r>
        <w:rPr>
          <w:rFonts w:hint="eastAsia" w:ascii="黑体" w:hAnsi="黑体" w:eastAsia="黑体" w:cs="黑体"/>
          <w:sz w:val="24"/>
          <w:szCs w:val="24"/>
        </w:rPr>
        <w:fldChar w:fldCharType="separate"/>
      </w:r>
      <w:r>
        <w:rPr>
          <w:rFonts w:hint="eastAsia" w:ascii="黑体" w:hAnsi="黑体" w:eastAsia="黑体" w:cs="黑体"/>
          <w:sz w:val="24"/>
          <w:szCs w:val="24"/>
        </w:rPr>
        <w:t>44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_Toc31616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典型案例11：</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_Toc31616 \h </w:instrText>
      </w:r>
      <w:r>
        <w:rPr>
          <w:rFonts w:hint="eastAsia" w:ascii="黑体" w:hAnsi="黑体" w:eastAsia="黑体" w:cs="黑体"/>
          <w:sz w:val="24"/>
          <w:szCs w:val="24"/>
        </w:rPr>
        <w:fldChar w:fldCharType="separate"/>
      </w:r>
      <w:r>
        <w:rPr>
          <w:rFonts w:hint="eastAsia" w:ascii="黑体" w:hAnsi="黑体" w:eastAsia="黑体" w:cs="黑体"/>
          <w:sz w:val="24"/>
          <w:szCs w:val="24"/>
        </w:rPr>
        <w:t>47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_Toc28385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彝族学子返乡创业助振兴  充当助农致富“领头雁”</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_Toc28385 \h </w:instrText>
      </w:r>
      <w:r>
        <w:rPr>
          <w:rFonts w:hint="eastAsia" w:ascii="黑体" w:hAnsi="黑体" w:eastAsia="黑体" w:cs="黑体"/>
          <w:sz w:val="24"/>
          <w:szCs w:val="24"/>
        </w:rPr>
        <w:fldChar w:fldCharType="separate"/>
      </w:r>
      <w:r>
        <w:rPr>
          <w:rFonts w:hint="eastAsia" w:ascii="黑体" w:hAnsi="黑体" w:eastAsia="黑体" w:cs="黑体"/>
          <w:sz w:val="24"/>
          <w:szCs w:val="24"/>
        </w:rPr>
        <w:t>47</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_Toc7774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典型案例12：</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_Toc7774 \h </w:instrText>
      </w:r>
      <w:r>
        <w:rPr>
          <w:rFonts w:hint="eastAsia" w:ascii="黑体" w:hAnsi="黑体" w:eastAsia="黑体" w:cs="黑体"/>
          <w:sz w:val="24"/>
          <w:szCs w:val="24"/>
        </w:rPr>
        <w:fldChar w:fldCharType="separate"/>
      </w:r>
      <w:r>
        <w:rPr>
          <w:rFonts w:hint="eastAsia" w:ascii="黑体" w:hAnsi="黑体" w:eastAsia="黑体" w:cs="黑体"/>
          <w:sz w:val="24"/>
          <w:szCs w:val="24"/>
        </w:rPr>
        <w:t>49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_Toc7355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访企拓岗促就业  学校开展书记校长联系百家企业活动</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_Toc7355 \h </w:instrText>
      </w:r>
      <w:r>
        <w:rPr>
          <w:rFonts w:hint="eastAsia" w:ascii="黑体" w:hAnsi="黑体" w:eastAsia="黑体" w:cs="黑体"/>
          <w:sz w:val="24"/>
          <w:szCs w:val="24"/>
        </w:rPr>
        <w:fldChar w:fldCharType="separate"/>
      </w:r>
      <w:r>
        <w:rPr>
          <w:rFonts w:hint="eastAsia" w:ascii="黑体" w:hAnsi="黑体" w:eastAsia="黑体" w:cs="黑体"/>
          <w:sz w:val="24"/>
          <w:szCs w:val="24"/>
        </w:rPr>
        <w:t>49</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_Toc15895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典型案例13：</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_Toc15895 \h </w:instrText>
      </w:r>
      <w:r>
        <w:rPr>
          <w:rFonts w:hint="eastAsia" w:ascii="黑体" w:hAnsi="黑体" w:eastAsia="黑体" w:cs="黑体"/>
          <w:sz w:val="24"/>
          <w:szCs w:val="24"/>
        </w:rPr>
        <w:fldChar w:fldCharType="separate"/>
      </w:r>
      <w:r>
        <w:rPr>
          <w:rFonts w:hint="eastAsia" w:ascii="黑体" w:hAnsi="黑体" w:eastAsia="黑体" w:cs="黑体"/>
          <w:sz w:val="24"/>
          <w:szCs w:val="24"/>
        </w:rPr>
        <w:t>53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_Toc31705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聚焦课程建设  深化教学改革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_Toc31705 \h </w:instrText>
      </w:r>
      <w:r>
        <w:rPr>
          <w:rFonts w:hint="eastAsia" w:ascii="黑体" w:hAnsi="黑体" w:eastAsia="黑体" w:cs="黑体"/>
          <w:sz w:val="24"/>
          <w:szCs w:val="24"/>
        </w:rPr>
        <w:fldChar w:fldCharType="separate"/>
      </w:r>
      <w:r>
        <w:rPr>
          <w:rFonts w:hint="eastAsia" w:ascii="黑体" w:hAnsi="黑体" w:eastAsia="黑体" w:cs="黑体"/>
          <w:sz w:val="24"/>
          <w:szCs w:val="24"/>
        </w:rPr>
        <w:t>53</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_Toc14215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典型案例14：</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_Toc14215 \h </w:instrText>
      </w:r>
      <w:r>
        <w:rPr>
          <w:rFonts w:hint="eastAsia" w:ascii="黑体" w:hAnsi="黑体" w:eastAsia="黑体" w:cs="黑体"/>
          <w:sz w:val="24"/>
          <w:szCs w:val="24"/>
        </w:rPr>
        <w:fldChar w:fldCharType="separate"/>
      </w:r>
      <w:r>
        <w:rPr>
          <w:rFonts w:hint="eastAsia" w:ascii="黑体" w:hAnsi="黑体" w:eastAsia="黑体" w:cs="黑体"/>
          <w:sz w:val="24"/>
          <w:szCs w:val="24"/>
        </w:rPr>
        <w:t>54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lang w:eastAsia="zh-CN"/>
        </w:rPr>
        <w:t>《</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_Toc22094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大学计算机应用基础》课程建设与改革</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_Toc22094 \h </w:instrText>
      </w:r>
      <w:r>
        <w:rPr>
          <w:rFonts w:hint="eastAsia" w:ascii="黑体" w:hAnsi="黑体" w:eastAsia="黑体" w:cs="黑体"/>
          <w:sz w:val="24"/>
          <w:szCs w:val="24"/>
        </w:rPr>
        <w:fldChar w:fldCharType="separate"/>
      </w:r>
      <w:r>
        <w:rPr>
          <w:rFonts w:hint="eastAsia" w:ascii="黑体" w:hAnsi="黑体" w:eastAsia="黑体" w:cs="黑体"/>
          <w:sz w:val="24"/>
          <w:szCs w:val="24"/>
        </w:rPr>
        <w:t>54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_Toc12912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典型案例15：</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_Toc12912 \h </w:instrText>
      </w:r>
      <w:r>
        <w:rPr>
          <w:rFonts w:hint="eastAsia" w:ascii="黑体" w:hAnsi="黑体" w:eastAsia="黑体" w:cs="黑体"/>
          <w:sz w:val="24"/>
          <w:szCs w:val="24"/>
        </w:rPr>
        <w:fldChar w:fldCharType="separate"/>
      </w:r>
      <w:r>
        <w:rPr>
          <w:rFonts w:hint="eastAsia" w:ascii="黑体" w:hAnsi="黑体" w:eastAsia="黑体" w:cs="黑体"/>
          <w:sz w:val="24"/>
          <w:szCs w:val="24"/>
        </w:rPr>
        <w:t>54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_Toc10963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 xml:space="preserve">普及正确用药常识  构建全民用药安全 </w:t>
      </w:r>
      <w:r>
        <w:rPr>
          <w:rFonts w:hint="eastAsia" w:ascii="黑体" w:hAnsi="黑体" w:eastAsia="黑体" w:cs="黑体"/>
          <w:sz w:val="24"/>
          <w:szCs w:val="24"/>
        </w:rPr>
        <w:fldChar w:fldCharType="end"/>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_Toc14529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我校教学团队倾力打造在线开放课程</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_Toc14529 \h </w:instrText>
      </w:r>
      <w:r>
        <w:rPr>
          <w:rFonts w:hint="eastAsia" w:ascii="黑体" w:hAnsi="黑体" w:eastAsia="黑体" w:cs="黑体"/>
          <w:sz w:val="24"/>
          <w:szCs w:val="24"/>
        </w:rPr>
        <w:fldChar w:fldCharType="separate"/>
      </w:r>
      <w:r>
        <w:rPr>
          <w:rFonts w:hint="eastAsia" w:ascii="黑体" w:hAnsi="黑体" w:eastAsia="黑体" w:cs="黑体"/>
          <w:sz w:val="24"/>
          <w:szCs w:val="24"/>
        </w:rPr>
        <w:t>54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_Toc4452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典型案例16：</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_Toc4452 \h </w:instrText>
      </w:r>
      <w:r>
        <w:rPr>
          <w:rFonts w:hint="eastAsia" w:ascii="黑体" w:hAnsi="黑体" w:eastAsia="黑体" w:cs="黑体"/>
          <w:sz w:val="24"/>
          <w:szCs w:val="24"/>
        </w:rPr>
        <w:fldChar w:fldCharType="separate"/>
      </w:r>
      <w:r>
        <w:rPr>
          <w:rFonts w:hint="eastAsia" w:ascii="黑体" w:hAnsi="黑体" w:eastAsia="黑体" w:cs="黑体"/>
          <w:sz w:val="24"/>
          <w:szCs w:val="24"/>
        </w:rPr>
        <w:t>64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_Toc2340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培育高素质农民 助力乡村人才振兴</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_Toc2340 \h </w:instrText>
      </w:r>
      <w:r>
        <w:rPr>
          <w:rFonts w:hint="eastAsia" w:ascii="黑体" w:hAnsi="黑体" w:eastAsia="黑体" w:cs="黑体"/>
          <w:sz w:val="24"/>
          <w:szCs w:val="24"/>
        </w:rPr>
        <w:fldChar w:fldCharType="separate"/>
      </w:r>
      <w:r>
        <w:rPr>
          <w:rFonts w:hint="eastAsia" w:ascii="黑体" w:hAnsi="黑体" w:eastAsia="黑体" w:cs="黑体"/>
          <w:sz w:val="24"/>
          <w:szCs w:val="24"/>
        </w:rPr>
        <w:t>64</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_Toc16924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典型案例17：</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_Toc16924 \h </w:instrText>
      </w:r>
      <w:r>
        <w:rPr>
          <w:rFonts w:hint="eastAsia" w:ascii="黑体" w:hAnsi="黑体" w:eastAsia="黑体" w:cs="黑体"/>
          <w:sz w:val="24"/>
          <w:szCs w:val="24"/>
        </w:rPr>
        <w:fldChar w:fldCharType="separate"/>
      </w:r>
      <w:r>
        <w:rPr>
          <w:rFonts w:hint="eastAsia" w:ascii="黑体" w:hAnsi="黑体" w:eastAsia="黑体" w:cs="黑体"/>
          <w:sz w:val="24"/>
          <w:szCs w:val="24"/>
        </w:rPr>
        <w:t>65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pStyle w:val="9"/>
        <w:tabs>
          <w:tab w:val="right" w:leader="dot" w:pos="8306"/>
        </w:tabs>
        <w:spacing w:line="360" w:lineRule="auto"/>
        <w:rPr>
          <w:rFonts w:hint="eastAsia" w:ascii="黑体" w:hAnsi="黑体" w:eastAsia="黑体" w:cs="黑体"/>
          <w:sz w:val="24"/>
          <w:szCs w:val="24"/>
        </w:rPr>
      </w:pPr>
      <w:r>
        <w:rPr>
          <w:rFonts w:hint="eastAsia" w:ascii="黑体" w:hAnsi="黑体" w:eastAsia="黑体" w:cs="黑体"/>
          <w:sz w:val="24"/>
          <w:szCs w:val="24"/>
          <w:lang w:val="en-US" w:eastAsia="zh-CN"/>
        </w:rPr>
        <w:t>学校开展</w:t>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_Toc1785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泸州市“黄丝带•同心帮教”职业技能培训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_Toc1785 \h </w:instrText>
      </w:r>
      <w:r>
        <w:rPr>
          <w:rFonts w:hint="eastAsia" w:ascii="黑体" w:hAnsi="黑体" w:eastAsia="黑体" w:cs="黑体"/>
          <w:sz w:val="24"/>
          <w:szCs w:val="24"/>
        </w:rPr>
        <w:fldChar w:fldCharType="separate"/>
      </w:r>
      <w:r>
        <w:rPr>
          <w:rFonts w:hint="eastAsia" w:ascii="黑体" w:hAnsi="黑体" w:eastAsia="黑体" w:cs="黑体"/>
          <w:sz w:val="24"/>
          <w:szCs w:val="24"/>
        </w:rPr>
        <w:t>65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pPr>
        <w:spacing w:line="360" w:lineRule="auto"/>
        <w:rPr>
          <w:rFonts w:hint="eastAsia" w:ascii="黑体" w:hAnsi="黑体" w:eastAsia="黑体" w:cs="黑体"/>
          <w:sz w:val="28"/>
          <w:szCs w:val="28"/>
        </w:rPr>
      </w:pPr>
      <w:r>
        <w:rPr>
          <w:rFonts w:hint="eastAsia" w:ascii="黑体" w:hAnsi="黑体" w:eastAsia="黑体" w:cs="黑体"/>
          <w:sz w:val="24"/>
          <w:szCs w:val="24"/>
        </w:rPr>
        <w:fldChar w:fldCharType="end"/>
      </w:r>
    </w:p>
    <w:p>
      <w:pPr>
        <w:rPr>
          <w:rFonts w:hint="eastAsia" w:ascii="黑体" w:hAnsi="黑体" w:eastAsia="黑体" w:cs="黑体"/>
          <w:sz w:val="28"/>
          <w:szCs w:val="28"/>
        </w:rPr>
      </w:pPr>
    </w:p>
    <w:p>
      <w:pPr>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eastAsia="zh-CN"/>
        </w:rPr>
        <w:sectPr>
          <w:footerReference r:id="rId5" w:type="default"/>
          <w:pgSz w:w="11906" w:h="16838"/>
          <w:pgMar w:top="1440" w:right="1800" w:bottom="1440" w:left="1800" w:header="851" w:footer="992" w:gutter="0"/>
          <w:pgNumType w:fmt="decimal" w:start="7"/>
          <w:cols w:space="425" w:num="1"/>
          <w:docGrid w:type="lines" w:linePitch="312" w:charSpace="0"/>
        </w:sectPr>
      </w:pPr>
      <w:bookmarkStart w:id="0" w:name="_Toc31578"/>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一、基本情况</w:t>
      </w:r>
      <w:bookmarkEnd w:id="0"/>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eastAsia="zh-CN"/>
        </w:rPr>
      </w:pPr>
      <w:bookmarkStart w:id="1" w:name="_Toc5042"/>
      <w:r>
        <w:rPr>
          <w:rFonts w:hint="eastAsia" w:ascii="仿宋" w:hAnsi="仿宋" w:eastAsia="仿宋" w:cs="仿宋"/>
          <w:b/>
          <w:bCs/>
          <w:color w:val="auto"/>
          <w:sz w:val="32"/>
          <w:szCs w:val="32"/>
          <w:lang w:eastAsia="zh-CN"/>
        </w:rPr>
        <w:t>（一）学校</w:t>
      </w:r>
      <w:r>
        <w:rPr>
          <w:rFonts w:hint="eastAsia" w:ascii="仿宋" w:hAnsi="仿宋" w:eastAsia="仿宋" w:cs="仿宋"/>
          <w:b/>
          <w:bCs/>
          <w:color w:val="auto"/>
          <w:sz w:val="32"/>
          <w:szCs w:val="32"/>
          <w:lang w:val="en-US" w:eastAsia="zh-CN"/>
        </w:rPr>
        <w:t>概况</w:t>
      </w:r>
      <w:bookmarkEnd w:id="1"/>
    </w:p>
    <w:p>
      <w:pPr>
        <w:spacing w:line="240"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四川三河职业学院是2011年经四川省人民政府批准、教育部备案的全日制普通高等</w:t>
      </w:r>
      <w:r>
        <w:rPr>
          <w:rFonts w:hint="eastAsia" w:ascii="仿宋" w:hAnsi="仿宋" w:eastAsia="仿宋" w:cs="仿宋"/>
          <w:color w:val="auto"/>
          <w:sz w:val="32"/>
          <w:szCs w:val="32"/>
          <w:lang w:eastAsia="zh-CN"/>
        </w:rPr>
        <w:t>职业</w:t>
      </w:r>
      <w:r>
        <w:rPr>
          <w:rFonts w:hint="eastAsia" w:ascii="仿宋" w:hAnsi="仿宋" w:eastAsia="仿宋" w:cs="仿宋"/>
          <w:color w:val="auto"/>
          <w:sz w:val="32"/>
          <w:szCs w:val="32"/>
        </w:rPr>
        <w:t>院校。</w:t>
      </w:r>
      <w:r>
        <w:rPr>
          <w:rFonts w:hint="eastAsia" w:ascii="仿宋" w:hAnsi="仿宋" w:eastAsia="仿宋" w:cs="仿宋"/>
          <w:color w:val="auto"/>
          <w:sz w:val="32"/>
          <w:szCs w:val="32"/>
          <w:lang w:eastAsia="zh-CN"/>
        </w:rPr>
        <w:t>学校</w:t>
      </w:r>
      <w:r>
        <w:rPr>
          <w:rFonts w:hint="eastAsia" w:ascii="仿宋" w:hAnsi="仿宋" w:eastAsia="仿宋" w:cs="仿宋"/>
          <w:color w:val="auto"/>
          <w:sz w:val="32"/>
          <w:szCs w:val="32"/>
        </w:rPr>
        <w:t>在办学过程中形成了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艰苦奋斗、始终如一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的校园精神</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凝练</w:t>
      </w:r>
      <w:r>
        <w:rPr>
          <w:rFonts w:hint="eastAsia" w:ascii="仿宋" w:hAnsi="仿宋" w:eastAsia="仿宋" w:cs="仿宋"/>
          <w:color w:val="auto"/>
          <w:sz w:val="32"/>
          <w:szCs w:val="32"/>
        </w:rPr>
        <w:t>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四个坚持</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的办学指导思想</w:t>
      </w:r>
      <w:r>
        <w:rPr>
          <w:rFonts w:hint="eastAsia" w:ascii="仿宋" w:hAnsi="仿宋" w:eastAsia="仿宋" w:cs="仿宋"/>
          <w:color w:val="auto"/>
          <w:sz w:val="32"/>
          <w:szCs w:val="32"/>
          <w:lang w:eastAsia="zh-CN"/>
        </w:rPr>
        <w:t>，践行了“有教无类、重道乐业”的办学理念，</w:t>
      </w:r>
      <w:r>
        <w:rPr>
          <w:rFonts w:hint="eastAsia" w:ascii="仿宋" w:hAnsi="仿宋" w:eastAsia="仿宋" w:cs="仿宋"/>
          <w:color w:val="auto"/>
          <w:sz w:val="32"/>
          <w:szCs w:val="32"/>
          <w:lang w:val="en-US" w:eastAsia="zh-CN"/>
        </w:rPr>
        <w:t>提出</w:t>
      </w:r>
      <w:r>
        <w:rPr>
          <w:rFonts w:hint="eastAsia" w:ascii="仿宋" w:hAnsi="仿宋" w:eastAsia="仿宋" w:cs="仿宋"/>
          <w:color w:val="auto"/>
          <w:sz w:val="32"/>
          <w:szCs w:val="32"/>
          <w:lang w:eastAsia="zh-CN"/>
        </w:rPr>
        <w:t>了“三河聚海、育人利物”的校训，</w:t>
      </w:r>
      <w:r>
        <w:rPr>
          <w:rFonts w:hint="eastAsia" w:ascii="仿宋" w:hAnsi="仿宋" w:eastAsia="仿宋" w:cs="仿宋"/>
          <w:color w:val="auto"/>
          <w:sz w:val="32"/>
          <w:szCs w:val="32"/>
        </w:rPr>
        <w:t>融汇</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“大爱文化、法治文化、制度文化、行为文化、环境文化”</w:t>
      </w:r>
      <w:r>
        <w:rPr>
          <w:rFonts w:hint="eastAsia" w:ascii="仿宋" w:hAnsi="仿宋" w:eastAsia="仿宋" w:cs="仿宋"/>
          <w:color w:val="auto"/>
          <w:sz w:val="32"/>
          <w:szCs w:val="32"/>
          <w:lang w:eastAsia="zh-CN"/>
        </w:rPr>
        <w:t>于一体的</w:t>
      </w:r>
      <w:r>
        <w:rPr>
          <w:rFonts w:hint="eastAsia" w:ascii="仿宋" w:hAnsi="仿宋" w:eastAsia="仿宋" w:cs="仿宋"/>
          <w:color w:val="auto"/>
          <w:sz w:val="32"/>
          <w:szCs w:val="32"/>
        </w:rPr>
        <w:t>“三河文化”</w:t>
      </w:r>
      <w:r>
        <w:rPr>
          <w:rFonts w:hint="eastAsia" w:ascii="仿宋" w:hAnsi="仿宋" w:eastAsia="仿宋" w:cs="仿宋"/>
          <w:color w:val="auto"/>
          <w:sz w:val="32"/>
          <w:szCs w:val="32"/>
          <w:lang w:eastAsia="zh-CN"/>
        </w:rPr>
        <w:t>，探索了“全员投入、人人向好”的质量文化。</w:t>
      </w:r>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近年来，学校先后荣获“四川省依法治校示范学校”、“四川省脱贫攻坚先进集体”、“四川省民族团结进步示范学校”、“四川省文明校园”等荣誉称号，</w:t>
      </w:r>
      <w:r>
        <w:rPr>
          <w:rFonts w:hint="eastAsia" w:ascii="仿宋" w:hAnsi="仿宋" w:eastAsia="仿宋" w:cs="仿宋"/>
          <w:color w:val="auto"/>
          <w:sz w:val="32"/>
          <w:szCs w:val="32"/>
          <w:lang w:val="en-US" w:eastAsia="zh-CN"/>
        </w:rPr>
        <w:t>已列入“全国文明校园”创建单位</w:t>
      </w:r>
      <w:r>
        <w:rPr>
          <w:rFonts w:hint="eastAsia" w:ascii="仿宋" w:hAnsi="仿宋" w:eastAsia="仿宋" w:cs="仿宋"/>
          <w:color w:val="auto"/>
          <w:sz w:val="32"/>
          <w:szCs w:val="32"/>
          <w:lang w:eastAsia="zh-CN"/>
        </w:rPr>
        <w:t>；连续</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年被评为四川省“‘平安校园’先进单位”，学校是首批“四川省住房和城乡建设领域施工现场专业人员职业培训机构”、四川省高技能人才培训基地、四川省第三批现代学徒制及四川省首批教育体制机制改革试点单位、</w:t>
      </w:r>
      <w:r>
        <w:rPr>
          <w:rFonts w:hint="eastAsia" w:ascii="仿宋" w:hAnsi="仿宋" w:eastAsia="仿宋" w:cs="仿宋"/>
          <w:color w:val="auto"/>
          <w:sz w:val="32"/>
          <w:szCs w:val="32"/>
          <w:lang w:val="en-US" w:eastAsia="zh-CN"/>
        </w:rPr>
        <w:t>四川省高素质农民培育省级实习实训基地、中国西部工匠城乡村工匠实训基地、</w:t>
      </w:r>
      <w:r>
        <w:rPr>
          <w:rFonts w:hint="eastAsia" w:ascii="仿宋" w:hAnsi="仿宋" w:eastAsia="仿宋" w:cs="仿宋"/>
          <w:color w:val="auto"/>
          <w:sz w:val="32"/>
          <w:szCs w:val="32"/>
          <w:highlight w:val="none"/>
          <w:lang w:val="en-US" w:eastAsia="zh-CN"/>
        </w:rPr>
        <w:t>四川省第五批粮食安全宣传教育基地</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学校现建有四川省众创空间</w:t>
      </w:r>
      <w:r>
        <w:rPr>
          <w:rFonts w:hint="eastAsia" w:ascii="仿宋" w:hAnsi="仿宋" w:eastAsia="仿宋" w:cs="仿宋"/>
          <w:color w:val="auto"/>
          <w:sz w:val="32"/>
          <w:szCs w:val="32"/>
          <w:lang w:val="en-US" w:eastAsia="zh-CN"/>
        </w:rPr>
        <w:t>、四川省</w:t>
      </w:r>
      <w:r>
        <w:rPr>
          <w:rFonts w:hint="eastAsia" w:ascii="仿宋" w:hAnsi="仿宋" w:eastAsia="仿宋" w:cs="仿宋"/>
          <w:color w:val="auto"/>
          <w:sz w:val="32"/>
          <w:szCs w:val="32"/>
          <w:lang w:eastAsia="zh-CN"/>
        </w:rPr>
        <w:t>大学生创新创业园区（孵化基地）、</w:t>
      </w:r>
      <w:r>
        <w:rPr>
          <w:rFonts w:hint="eastAsia" w:ascii="仿宋" w:hAnsi="仿宋" w:eastAsia="仿宋" w:cs="仿宋"/>
          <w:color w:val="auto"/>
          <w:sz w:val="32"/>
          <w:szCs w:val="32"/>
          <w:lang w:val="en-US" w:eastAsia="zh-CN"/>
        </w:rPr>
        <w:t>1+X证书考试站点9个、</w:t>
      </w:r>
      <w:r>
        <w:rPr>
          <w:rFonts w:hint="eastAsia" w:ascii="仿宋" w:hAnsi="仿宋" w:eastAsia="仿宋" w:cs="仿宋"/>
          <w:color w:val="auto"/>
          <w:sz w:val="32"/>
          <w:szCs w:val="32"/>
          <w:lang w:eastAsia="zh-CN"/>
        </w:rPr>
        <w:t>泸州市哲学社会科学重点研究基地</w:t>
      </w:r>
      <w:r>
        <w:rPr>
          <w:rFonts w:hint="eastAsia" w:ascii="仿宋" w:hAnsi="仿宋" w:eastAsia="仿宋" w:cs="仿宋"/>
          <w:color w:val="auto"/>
          <w:sz w:val="32"/>
          <w:szCs w:val="32"/>
          <w:lang w:val="en-US" w:eastAsia="zh-CN"/>
        </w:rPr>
        <w:t>1个、泸州市</w:t>
      </w:r>
      <w:r>
        <w:rPr>
          <w:rFonts w:hint="eastAsia" w:ascii="仿宋" w:hAnsi="仿宋" w:eastAsia="仿宋" w:cs="仿宋"/>
          <w:color w:val="auto"/>
          <w:sz w:val="32"/>
          <w:szCs w:val="32"/>
          <w:lang w:eastAsia="zh-CN"/>
        </w:rPr>
        <w:t>工程技术研究中心</w:t>
      </w:r>
      <w:r>
        <w:rPr>
          <w:rFonts w:hint="eastAsia" w:ascii="仿宋" w:hAnsi="仿宋" w:eastAsia="仿宋" w:cs="仿宋"/>
          <w:color w:val="auto"/>
          <w:sz w:val="32"/>
          <w:szCs w:val="32"/>
          <w:lang w:val="en-US" w:eastAsia="zh-CN"/>
        </w:rPr>
        <w:t>1个、泸州市技能大师工作室1个、校地共建乡村振兴学院1个；学校是</w:t>
      </w:r>
      <w:r>
        <w:rPr>
          <w:rFonts w:hint="eastAsia" w:ascii="仿宋" w:hAnsi="仿宋" w:eastAsia="仿宋" w:cs="仿宋"/>
          <w:color w:val="auto"/>
          <w:sz w:val="32"/>
          <w:szCs w:val="32"/>
          <w:lang w:eastAsia="zh-CN"/>
        </w:rPr>
        <w:t>“四川省高教学会职业经理人培养专业委员会”副理事长和副秘书长单位、四川省高等教育学会卫生健康职业教育专委会秘书长单位、“成渝地区双城经济圈乡村振兴学院联盟”副理事长单位、“</w:t>
      </w:r>
      <w:r>
        <w:rPr>
          <w:rFonts w:hint="eastAsia" w:ascii="仿宋" w:hAnsi="仿宋" w:eastAsia="仿宋" w:cs="仿宋"/>
          <w:color w:val="auto"/>
          <w:sz w:val="32"/>
          <w:szCs w:val="32"/>
          <w:lang w:val="en-US" w:eastAsia="zh-CN"/>
        </w:rPr>
        <w:t>成渝地区双城经济圈大健康职业教育产教协同育人联盟”副理事长单位、四川省农村发展促进会《四川农村观察》微信公众号共建单位。</w:t>
      </w:r>
    </w:p>
    <w:p>
      <w:p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color w:val="auto"/>
          <w:sz w:val="32"/>
          <w:szCs w:val="32"/>
          <w:lang w:val="en-US" w:eastAsia="zh-CN"/>
        </w:rPr>
        <w:t>学校立足四川省、泸州市“十四五”规划，主动融入成渝地区双城经济圈发展战略，学习贯彻落实国家、四川省职业教育改革发展系列文件，编制了《四川三河职业学院“十四五”事业发展规划》，提出了</w:t>
      </w:r>
      <w:r>
        <w:rPr>
          <w:rFonts w:hint="eastAsia" w:ascii="仿宋" w:hAnsi="仿宋" w:eastAsia="仿宋" w:cs="仿宋"/>
          <w:b w:val="0"/>
          <w:bCs w:val="0"/>
          <w:color w:val="auto"/>
          <w:sz w:val="32"/>
          <w:szCs w:val="32"/>
          <w:lang w:val="en-US" w:eastAsia="zh-CN"/>
        </w:rPr>
        <w:t>奠基础、求发展、提质量“三步走”的建设发展思路，并将“十四五”期间的五年分别确立为提质培优建设年、提质培优推进年、提质培优提升年、提质培优深化年、提质培优巩固年，旨在全面加强条件建设和内涵建设，实现“十四五”期间“办好‘三个满意’的品牌学校”的总体目标。</w:t>
      </w:r>
    </w:p>
    <w:p>
      <w:pPr>
        <w:pStyle w:val="32"/>
        <w:bidi w:val="0"/>
        <w:jc w:val="left"/>
        <w:rPr>
          <w:rFonts w:hint="eastAsia"/>
          <w:lang w:val="en-US" w:eastAsia="zh-CN"/>
        </w:rPr>
      </w:pPr>
      <w:bookmarkStart w:id="2" w:name="_Toc27645"/>
      <w:r>
        <w:rPr>
          <w:rFonts w:hint="eastAsia"/>
          <w:lang w:val="en-US" w:eastAsia="zh-CN"/>
        </w:rPr>
        <w:t>典型案例1：</w:t>
      </w:r>
      <w:bookmarkEnd w:id="2"/>
    </w:p>
    <w:p>
      <w:pPr>
        <w:pStyle w:val="32"/>
        <w:bidi w:val="0"/>
        <w:jc w:val="center"/>
        <w:rPr>
          <w:rFonts w:hint="eastAsia"/>
          <w:lang w:val="en-US" w:eastAsia="zh-CN"/>
        </w:rPr>
      </w:pPr>
      <w:bookmarkStart w:id="3" w:name="_Toc7388"/>
      <w:r>
        <w:rPr>
          <w:rFonts w:hint="eastAsia"/>
          <w:lang w:val="en-US" w:eastAsia="zh-CN"/>
        </w:rPr>
        <w:t>全省统战工作战线近两百名领导莅临我校考察指导</w:t>
      </w:r>
      <w:bookmarkEnd w:id="3"/>
    </w:p>
    <w:p>
      <w:pPr>
        <w:spacing w:line="240" w:lineRule="auto"/>
        <w:ind w:firstLine="560" w:firstLineChars="20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2023年11月1日下午，在全省“高等学校统战助发展推进会”召开前，四川省委统战部副部长陈武，省委教育工委委员、省教育厅党组成员、副厅长石静，泸州市委常委、统战部部长李堂兵，泸州市副市长罗素平，在川部省属本科和高职高专共计137所高校负责人，各市（州）党委常委、统战部部长，省委统战部、省委教育工委（教育厅）有关处室负责人近200人到校指导考察。</w:t>
      </w:r>
    </w:p>
    <w:p>
      <w:pPr>
        <w:spacing w:line="240" w:lineRule="auto"/>
        <w:ind w:firstLine="560" w:firstLineChars="20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陈武参观了学校师生的文创作品、合江历史名人展、学校陈列室，听取了学校统战工作汇报，了解学校的发展建设情况；在学校第四届民族文化交流节现场，陈武听取了学校关于民族团结进步教育工作的汇报，到民族文化展示区和同学们热情交流，了解少数民族学生在学校的学习生活情况，和同学们亲切互动。</w:t>
      </w:r>
    </w:p>
    <w:p>
      <w:pPr>
        <w:spacing w:line="240" w:lineRule="auto"/>
        <w:ind w:firstLine="560" w:firstLineChars="20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晚上，陈武一行和学校师生代表一起观看了第四届民族文化交流节文艺晚会。由汉族、彝族、藏族、苗族等27个民族的学生联袂打造的民族文化盛宴激情上演，充分展现了不同民族的文化与习俗，反映了各民族学生对幸福生活的珍惜，展现了学校筑牢中华民族共同体意识教育的成果，对党和祖国的由衷礼赞，不忘初心跟党走、励志高歌向未来。</w:t>
      </w:r>
    </w:p>
    <w:p>
      <w:pPr>
        <w:spacing w:line="240" w:lineRule="auto"/>
        <w:ind w:firstLine="560" w:firstLineChars="20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11月2日上午，全省高等学校统战助发展推进会在泸州召开，学校党委书记叶昌伦以《思想引领创新路 凝心聚力促发展》为题做交流发言。</w:t>
      </w:r>
    </w:p>
    <w:p>
      <w:pPr>
        <w:spacing w:line="240" w:lineRule="auto"/>
        <w:ind w:firstLine="560" w:firstLineChars="200"/>
        <w:rPr>
          <w:rFonts w:hint="eastAsia" w:ascii="仿宋" w:hAnsi="仿宋" w:eastAsia="仿宋" w:cs="仿宋"/>
          <w:b w:val="0"/>
          <w:bCs w:val="0"/>
          <w:color w:val="auto"/>
          <w:sz w:val="28"/>
          <w:szCs w:val="28"/>
          <w:lang w:val="en-US" w:eastAsia="zh-CN"/>
        </w:rPr>
      </w:pPr>
    </w:p>
    <w:p>
      <w:pPr>
        <w:spacing w:line="240" w:lineRule="auto"/>
        <w:ind w:firstLine="560" w:firstLineChars="200"/>
        <w:rPr>
          <w:rFonts w:hint="eastAsia" w:ascii="仿宋" w:hAnsi="仿宋" w:eastAsia="仿宋" w:cs="仿宋"/>
          <w:b w:val="0"/>
          <w:bCs w:val="0"/>
          <w:color w:val="auto"/>
          <w:sz w:val="28"/>
          <w:szCs w:val="28"/>
          <w:lang w:val="en-US" w:eastAsia="zh-CN"/>
        </w:rPr>
      </w:pPr>
    </w:p>
    <w:p>
      <w:pPr>
        <w:spacing w:line="240" w:lineRule="auto"/>
        <w:jc w:val="cente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inline distT="0" distB="0" distL="114300" distR="114300">
            <wp:extent cx="2599690" cy="1863090"/>
            <wp:effectExtent l="0" t="0" r="10160"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9"/>
                    <a:srcRect l="-191" r="192"/>
                    <a:stretch>
                      <a:fillRect/>
                    </a:stretch>
                  </pic:blipFill>
                  <pic:spPr>
                    <a:xfrm>
                      <a:off x="0" y="0"/>
                      <a:ext cx="2599690" cy="1863090"/>
                    </a:xfrm>
                    <a:prstGeom prst="rect">
                      <a:avLst/>
                    </a:prstGeom>
                  </pic:spPr>
                </pic:pic>
              </a:graphicData>
            </a:graphic>
          </wp:inline>
        </w:drawing>
      </w:r>
      <w:r>
        <w:rPr>
          <w:rFonts w:hint="eastAsia" w:ascii="仿宋" w:hAnsi="仿宋" w:eastAsia="仿宋" w:cs="仿宋"/>
          <w:b w:val="0"/>
          <w:bCs w:val="0"/>
          <w:color w:val="auto"/>
          <w:sz w:val="11"/>
          <w:szCs w:val="11"/>
          <w:lang w:val="en-US" w:eastAsia="zh-CN"/>
        </w:rPr>
        <w:t xml:space="preserve"> </w:t>
      </w:r>
      <w:r>
        <w:rPr>
          <w:rFonts w:hint="eastAsia" w:ascii="仿宋" w:hAnsi="仿宋" w:eastAsia="仿宋" w:cs="仿宋"/>
          <w:b w:val="0"/>
          <w:bCs w:val="0"/>
          <w:color w:val="auto"/>
          <w:sz w:val="28"/>
          <w:szCs w:val="28"/>
          <w:lang w:val="en-US" w:eastAsia="zh-CN"/>
        </w:rPr>
        <w:drawing>
          <wp:inline distT="0" distB="0" distL="114300" distR="114300">
            <wp:extent cx="2548890" cy="1875790"/>
            <wp:effectExtent l="0" t="0" r="3810" b="10160"/>
            <wp:docPr id="24" name="图片 24" descr="IMG_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835"/>
                    <pic:cNvPicPr>
                      <a:picLocks noChangeAspect="1"/>
                    </pic:cNvPicPr>
                  </pic:nvPicPr>
                  <pic:blipFill>
                    <a:blip r:embed="rId10"/>
                    <a:stretch>
                      <a:fillRect/>
                    </a:stretch>
                  </pic:blipFill>
                  <pic:spPr>
                    <a:xfrm>
                      <a:off x="0" y="0"/>
                      <a:ext cx="2548890" cy="1875790"/>
                    </a:xfrm>
                    <a:prstGeom prst="rect">
                      <a:avLst/>
                    </a:prstGeom>
                  </pic:spPr>
                </pic:pic>
              </a:graphicData>
            </a:graphic>
          </wp:inline>
        </w:drawing>
      </w:r>
    </w:p>
    <w:p>
      <w:pPr>
        <w:spacing w:line="24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8"/>
          <w:szCs w:val="28"/>
          <w:lang w:val="en-US" w:eastAsia="zh-CN"/>
        </w:rPr>
        <w:drawing>
          <wp:inline distT="0" distB="0" distL="114300" distR="114300">
            <wp:extent cx="2599690" cy="1954530"/>
            <wp:effectExtent l="0" t="0" r="10160" b="762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1"/>
                    <a:stretch>
                      <a:fillRect/>
                    </a:stretch>
                  </pic:blipFill>
                  <pic:spPr>
                    <a:xfrm>
                      <a:off x="0" y="0"/>
                      <a:ext cx="2599690" cy="1954530"/>
                    </a:xfrm>
                    <a:prstGeom prst="rect">
                      <a:avLst/>
                    </a:prstGeom>
                  </pic:spPr>
                </pic:pic>
              </a:graphicData>
            </a:graphic>
          </wp:inline>
        </w:drawing>
      </w:r>
      <w:r>
        <w:rPr>
          <w:rFonts w:hint="eastAsia" w:ascii="仿宋" w:hAnsi="仿宋" w:eastAsia="仿宋" w:cs="仿宋"/>
          <w:b/>
          <w:bCs/>
          <w:color w:val="auto"/>
          <w:sz w:val="11"/>
          <w:szCs w:val="11"/>
          <w:lang w:val="en-US" w:eastAsia="zh-CN"/>
        </w:rPr>
        <w:t xml:space="preserve"> </w:t>
      </w:r>
      <w:r>
        <w:rPr>
          <w:rFonts w:hint="eastAsia" w:ascii="仿宋" w:hAnsi="仿宋" w:eastAsia="仿宋" w:cs="仿宋"/>
          <w:b/>
          <w:bCs/>
          <w:color w:val="auto"/>
          <w:sz w:val="32"/>
          <w:szCs w:val="32"/>
          <w:lang w:val="en-US" w:eastAsia="zh-CN"/>
        </w:rPr>
        <w:drawing>
          <wp:inline distT="0" distB="0" distL="114300" distR="114300">
            <wp:extent cx="2534285" cy="1951990"/>
            <wp:effectExtent l="0" t="0" r="18415" b="1016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2"/>
                    <a:stretch>
                      <a:fillRect/>
                    </a:stretch>
                  </pic:blipFill>
                  <pic:spPr>
                    <a:xfrm>
                      <a:off x="0" y="0"/>
                      <a:ext cx="2534285" cy="1951990"/>
                    </a:xfrm>
                    <a:prstGeom prst="rect">
                      <a:avLst/>
                    </a:prstGeom>
                  </pic:spPr>
                </pic:pic>
              </a:graphicData>
            </a:graphic>
          </wp:inline>
        </w:drawing>
      </w:r>
    </w:p>
    <w:p>
      <w:pPr>
        <w:pStyle w:val="31"/>
        <w:bidi w:val="0"/>
        <w:rPr>
          <w:rFonts w:hint="default"/>
          <w:lang w:val="en-US" w:eastAsia="zh-CN"/>
        </w:rPr>
      </w:pPr>
      <w:bookmarkStart w:id="4" w:name="_Toc23236"/>
      <w:r>
        <w:rPr>
          <w:rFonts w:hint="eastAsia"/>
          <w:lang w:val="en-US" w:eastAsia="zh-CN"/>
        </w:rPr>
        <w:t>图1  统战部副部长陈武、教育厅副厅长石静等近200名领导莅临我校考察指导，参加民族文化交流节活动，学校党委书记叶昌伦在推进会上发言</w:t>
      </w:r>
      <w:bookmarkEnd w:id="4"/>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5" w:name="_Toc29775"/>
      <w:r>
        <w:rPr>
          <w:rFonts w:hint="eastAsia" w:ascii="仿宋" w:hAnsi="仿宋" w:eastAsia="仿宋" w:cs="仿宋"/>
          <w:b/>
          <w:bCs/>
          <w:color w:val="auto"/>
          <w:sz w:val="32"/>
          <w:szCs w:val="32"/>
          <w:lang w:val="en-US" w:eastAsia="zh-CN"/>
        </w:rPr>
        <w:t>（二）教学单位与专业设置</w:t>
      </w:r>
      <w:bookmarkEnd w:id="5"/>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2023年，学校设有教学单位8个，有在校生专业32个，其中省级现代学徒制试点专业1个、校级专业群3个、校级重点专业6个，中职教学部开设专业1个，详情见表1：</w:t>
      </w:r>
    </w:p>
    <w:p>
      <w:pPr>
        <w:pStyle w:val="30"/>
        <w:bidi w:val="0"/>
        <w:rPr>
          <w:rFonts w:hint="eastAsia"/>
          <w:lang w:val="en-US" w:eastAsia="zh-CN"/>
        </w:rPr>
      </w:pPr>
      <w:bookmarkStart w:id="6" w:name="_Toc21052"/>
      <w:r>
        <w:rPr>
          <w:rFonts w:hint="eastAsia"/>
          <w:lang w:val="en-US" w:eastAsia="zh-CN"/>
        </w:rPr>
        <w:t>表1  教学单位与专业设置一览表</w:t>
      </w:r>
      <w:bookmarkEnd w:id="6"/>
    </w:p>
    <w:tbl>
      <w:tblPr>
        <w:tblStyle w:val="12"/>
        <w:tblW w:w="7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29"/>
        <w:gridCol w:w="2645"/>
        <w:gridCol w:w="1486"/>
        <w:gridCol w:w="1158"/>
        <w:gridCol w:w="5"/>
        <w:gridCol w:w="1184"/>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29" w:type="dxa"/>
            <w:shd w:val="clear" w:color="auto" w:fill="D7D7D7" w:themeFill="background1" w:themeFillShade="D8"/>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教学单位</w:t>
            </w:r>
          </w:p>
        </w:tc>
        <w:tc>
          <w:tcPr>
            <w:tcW w:w="2645" w:type="dxa"/>
            <w:shd w:val="clear" w:color="auto" w:fill="D7D7D7" w:themeFill="background1" w:themeFillShade="D8"/>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专业名称</w:t>
            </w:r>
          </w:p>
        </w:tc>
        <w:tc>
          <w:tcPr>
            <w:tcW w:w="1486" w:type="dxa"/>
            <w:shd w:val="clear" w:color="auto" w:fill="D7D7D7" w:themeFill="background1" w:themeFillShade="D8"/>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现代学徒制</w:t>
            </w:r>
          </w:p>
        </w:tc>
        <w:tc>
          <w:tcPr>
            <w:tcW w:w="1163" w:type="dxa"/>
            <w:gridSpan w:val="2"/>
            <w:shd w:val="clear" w:color="auto" w:fill="D7D7D7" w:themeFill="background1" w:themeFillShade="D8"/>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lang w:val="en-US"/>
              </w:rPr>
            </w:pPr>
            <w:r>
              <w:rPr>
                <w:rFonts w:hint="eastAsia" w:ascii="仿宋" w:hAnsi="仿宋" w:eastAsia="仿宋" w:cs="仿宋"/>
                <w:b/>
                <w:bCs/>
                <w:i w:val="0"/>
                <w:iCs w:val="0"/>
                <w:color w:val="auto"/>
                <w:kern w:val="0"/>
                <w:sz w:val="24"/>
                <w:szCs w:val="24"/>
                <w:u w:val="none"/>
                <w:lang w:val="en-US" w:eastAsia="zh-CN" w:bidi="ar"/>
              </w:rPr>
              <w:t>专业群</w:t>
            </w:r>
          </w:p>
        </w:tc>
        <w:tc>
          <w:tcPr>
            <w:tcW w:w="1189" w:type="dxa"/>
            <w:gridSpan w:val="2"/>
            <w:shd w:val="clear" w:color="auto" w:fill="D7D7D7" w:themeFill="background1" w:themeFillShade="D8"/>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lang w:val="en-US"/>
              </w:rPr>
            </w:pPr>
            <w:r>
              <w:rPr>
                <w:rFonts w:hint="eastAsia" w:ascii="仿宋" w:hAnsi="仿宋" w:eastAsia="仿宋" w:cs="仿宋"/>
                <w:b/>
                <w:bCs/>
                <w:i w:val="0"/>
                <w:iCs w:val="0"/>
                <w:color w:val="auto"/>
                <w:kern w:val="0"/>
                <w:sz w:val="24"/>
                <w:szCs w:val="24"/>
                <w:u w:val="none"/>
                <w:lang w:val="en-US" w:eastAsia="zh-CN" w:bidi="ar"/>
              </w:rPr>
              <w:t>校重专业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restart"/>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工程技术学院</w:t>
            </w: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汽车检测与维修技术</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c>
          <w:tcPr>
            <w:tcW w:w="1163" w:type="dxa"/>
            <w:gridSpan w:val="2"/>
            <w:vMerge w:val="restart"/>
            <w:shd w:val="clear" w:color="auto" w:fill="auto"/>
            <w:vAlign w:val="center"/>
          </w:tcPr>
          <w:p>
            <w:pPr>
              <w:spacing w:line="240" w:lineRule="auto"/>
              <w:jc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2"/>
                <w:sz w:val="24"/>
                <w:szCs w:val="24"/>
                <w:u w:val="none"/>
                <w:lang w:val="en-US" w:eastAsia="zh-CN" w:bidi="ar-SA"/>
              </w:rPr>
              <w:t>汽车检测与维修技术专业群</w:t>
            </w: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新能源汽车技术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计算机网络技术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机械设计与制造</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智能控制技术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智能机电技术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计算机应用技术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电子信息工程技术</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w:t>
            </w: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移动应用开发</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lang w:val="en-US" w:eastAsia="zh-CN"/>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数控技术</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lang w:val="en-US" w:eastAsia="zh-CN"/>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工业机器人技术</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lang w:val="en-US" w:eastAsia="zh-CN"/>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restart"/>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建筑工程学院</w:t>
            </w: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建筑装饰工程技术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vMerge w:val="restart"/>
            <w:shd w:val="clear" w:color="auto" w:fill="auto"/>
            <w:vAlign w:val="center"/>
          </w:tcPr>
          <w:p>
            <w:pPr>
              <w:spacing w:line="240" w:lineRule="auto"/>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建筑技术专业群</w:t>
            </w: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建筑工程技术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工程造价</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建设工程管理</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园林工程技术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restart"/>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经济管理学院</w:t>
            </w: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大数据与会计</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工商企业管理</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市场营销</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现代物流管理</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行政管理</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旅游管理</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restart"/>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卫生健康学院</w:t>
            </w: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护理</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vMerge w:val="restart"/>
            <w:shd w:val="clear" w:color="auto" w:fill="auto"/>
            <w:vAlign w:val="center"/>
          </w:tcPr>
          <w:p>
            <w:pPr>
              <w:spacing w:line="240" w:lineRule="auto"/>
              <w:jc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大健康</w:t>
            </w:r>
            <w:r>
              <w:rPr>
                <w:rFonts w:hint="eastAsia" w:ascii="仿宋" w:hAnsi="仿宋" w:eastAsia="仿宋" w:cs="仿宋"/>
                <w:i w:val="0"/>
                <w:iCs w:val="0"/>
                <w:color w:val="auto"/>
                <w:sz w:val="24"/>
                <w:szCs w:val="24"/>
                <w:u w:val="none"/>
                <w:lang w:val="en-US" w:eastAsia="zh-CN"/>
              </w:rPr>
              <w:t>服务</w:t>
            </w:r>
            <w:r>
              <w:rPr>
                <w:rFonts w:hint="eastAsia" w:ascii="仿宋" w:hAnsi="仿宋" w:eastAsia="仿宋" w:cs="仿宋"/>
                <w:i w:val="0"/>
                <w:iCs w:val="0"/>
                <w:color w:val="auto"/>
                <w:sz w:val="24"/>
                <w:szCs w:val="24"/>
                <w:u w:val="none"/>
                <w:lang w:eastAsia="zh-CN"/>
              </w:rPr>
              <w:t>专业群</w:t>
            </w: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助产</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康复治疗技术</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中药学</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健康大数据管理与服务</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continue"/>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药品经营与管理</w:t>
            </w:r>
          </w:p>
        </w:tc>
        <w:tc>
          <w:tcPr>
            <w:tcW w:w="1486" w:type="dxa"/>
            <w:shd w:val="clear" w:color="auto" w:fill="auto"/>
            <w:vAlign w:val="center"/>
          </w:tcPr>
          <w:p>
            <w:pPr>
              <w:spacing w:line="240" w:lineRule="auto"/>
              <w:jc w:val="center"/>
              <w:rPr>
                <w:rFonts w:hint="eastAsia" w:ascii="仿宋" w:hAnsi="仿宋" w:eastAsia="仿宋" w:cs="仿宋"/>
                <w:i w:val="0"/>
                <w:iCs w:val="0"/>
                <w:color w:val="auto"/>
                <w:kern w:val="2"/>
                <w:sz w:val="24"/>
                <w:szCs w:val="24"/>
                <w:u w:val="none"/>
                <w:lang w:val="en-US" w:eastAsia="zh-CN" w:bidi="ar-SA"/>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学前教育学院</w:t>
            </w: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学前教育</w:t>
            </w:r>
          </w:p>
        </w:tc>
        <w:tc>
          <w:tcPr>
            <w:tcW w:w="1486" w:type="dxa"/>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63" w:type="dxa"/>
            <w:gridSpan w:val="2"/>
            <w:shd w:val="clear" w:color="auto" w:fill="auto"/>
            <w:vAlign w:val="center"/>
          </w:tcPr>
          <w:p>
            <w:pPr>
              <w:spacing w:line="240" w:lineRule="auto"/>
              <w:jc w:val="center"/>
              <w:rPr>
                <w:rFonts w:hint="eastAsia" w:ascii="仿宋" w:hAnsi="仿宋" w:eastAsia="仿宋" w:cs="仿宋"/>
                <w:i w:val="0"/>
                <w:iCs w:val="0"/>
                <w:color w:val="auto"/>
                <w:sz w:val="24"/>
                <w:szCs w:val="24"/>
                <w:u w:val="none"/>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9" w:type="dxa"/>
            <w:vMerge w:val="restart"/>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现代农业技术学院</w:t>
            </w: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现代农业经济管理</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63"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现代农业技术</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58"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67" w:hRule="atLeast"/>
          <w:jc w:val="center"/>
        </w:trPr>
        <w:tc>
          <w:tcPr>
            <w:tcW w:w="1229"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264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动物医学</w:t>
            </w:r>
          </w:p>
        </w:tc>
        <w:tc>
          <w:tcPr>
            <w:tcW w:w="1486"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58"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1189" w:type="dxa"/>
            <w:gridSpan w:val="2"/>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67" w:hRule="atLeast"/>
          <w:jc w:val="center"/>
        </w:trPr>
        <w:tc>
          <w:tcPr>
            <w:tcW w:w="1229"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马克思主义学院</w:t>
            </w:r>
          </w:p>
        </w:tc>
        <w:tc>
          <w:tcPr>
            <w:tcW w:w="6478" w:type="dxa"/>
            <w:gridSpan w:val="5"/>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67" w:hRule="atLeast"/>
          <w:jc w:val="center"/>
        </w:trPr>
        <w:tc>
          <w:tcPr>
            <w:tcW w:w="1229"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基础教</w:t>
            </w:r>
          </w:p>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学部</w:t>
            </w:r>
          </w:p>
        </w:tc>
        <w:tc>
          <w:tcPr>
            <w:tcW w:w="6478" w:type="dxa"/>
            <w:gridSpan w:val="5"/>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67" w:hRule="atLeast"/>
          <w:jc w:val="center"/>
        </w:trPr>
        <w:tc>
          <w:tcPr>
            <w:tcW w:w="1229"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中职教</w:t>
            </w:r>
          </w:p>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学部</w:t>
            </w:r>
          </w:p>
        </w:tc>
        <w:tc>
          <w:tcPr>
            <w:tcW w:w="2645" w:type="dxa"/>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护理</w:t>
            </w:r>
          </w:p>
        </w:tc>
        <w:tc>
          <w:tcPr>
            <w:tcW w:w="3833" w:type="dxa"/>
            <w:gridSpan w:val="4"/>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7" w:name="_Toc14648"/>
      <w:r>
        <w:rPr>
          <w:rFonts w:hint="eastAsia" w:ascii="仿宋" w:hAnsi="仿宋" w:eastAsia="仿宋" w:cs="仿宋"/>
          <w:b/>
          <w:bCs/>
          <w:color w:val="auto"/>
          <w:sz w:val="32"/>
          <w:szCs w:val="32"/>
          <w:lang w:val="en-US" w:eastAsia="zh-CN"/>
        </w:rPr>
        <w:t>（三）学生情况</w:t>
      </w:r>
      <w:bookmarkEnd w:id="7"/>
    </w:p>
    <w:p>
      <w:p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2023年，学校共有全日制在校生21314人，其中高职在校生16165人（普通高中生源4402人、中职生源9928人、扩招生源1835人）、附设中职在校生5149人。</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8" w:name="_Toc19245"/>
      <w:r>
        <w:rPr>
          <w:rFonts w:hint="eastAsia" w:ascii="仿宋" w:hAnsi="仿宋" w:eastAsia="仿宋" w:cs="仿宋"/>
          <w:b/>
          <w:bCs/>
          <w:color w:val="auto"/>
          <w:sz w:val="32"/>
          <w:szCs w:val="32"/>
          <w:lang w:val="en-US" w:eastAsia="zh-CN"/>
        </w:rPr>
        <w:t>（四）教师情况</w:t>
      </w:r>
      <w:bookmarkEnd w:id="8"/>
    </w:p>
    <w:p>
      <w:p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学校专兼职教师总数达1443人，其中专任教师618人、校内兼课教师109人、校外教师222人、行业导师494人，师生比1：20.57；专任教师中，高职称教师50人，占比8.13%，高学历教师160人，占比25.89%，双师素质教师223人，除去思政课和基础课教师外，双师素质教师占专业教师的比例为52.1%。</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val="en-US" w:eastAsia="zh-CN"/>
        </w:rPr>
      </w:pPr>
      <w:bookmarkStart w:id="9" w:name="_Toc29809"/>
      <w:r>
        <w:rPr>
          <w:rFonts w:hint="eastAsia" w:ascii="仿宋" w:hAnsi="仿宋" w:eastAsia="仿宋" w:cs="仿宋"/>
          <w:b/>
          <w:bCs/>
          <w:color w:val="auto"/>
          <w:sz w:val="32"/>
          <w:szCs w:val="32"/>
          <w:lang w:val="en-US" w:eastAsia="zh-CN"/>
        </w:rPr>
        <w:t>二、政策保障</w:t>
      </w:r>
      <w:bookmarkEnd w:id="9"/>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0" w:name="_Toc6056"/>
      <w:r>
        <w:rPr>
          <w:rFonts w:hint="eastAsia" w:ascii="仿宋" w:hAnsi="仿宋" w:eastAsia="仿宋" w:cs="仿宋"/>
          <w:b/>
          <w:bCs/>
          <w:color w:val="auto"/>
          <w:sz w:val="32"/>
          <w:szCs w:val="32"/>
          <w:lang w:val="en-US" w:eastAsia="zh-CN"/>
        </w:rPr>
        <w:t>（一）经费投入</w:t>
      </w:r>
      <w:bookmarkEnd w:id="10"/>
    </w:p>
    <w:p>
      <w:p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学校投入办学经费共计27907.07万元，其中用于基础设施建设2591.28万元，占比9.29%，用于设备采购1344.38万元，占比4.82%，用于图书采购100.9万元，占比0.36%，用于日常教学及教学5260.17万元，占比18.85%，用于师资建设758.51万元，占比2.72%，用于学生专项经费2391.31万元，占比8.57%，为人才培养提供了坚实的经费保障。</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1" w:name="_Toc23468"/>
      <w:r>
        <w:rPr>
          <w:rFonts w:hint="eastAsia" w:ascii="仿宋" w:hAnsi="仿宋" w:eastAsia="仿宋" w:cs="仿宋"/>
          <w:b/>
          <w:bCs/>
          <w:color w:val="auto"/>
          <w:sz w:val="32"/>
          <w:szCs w:val="32"/>
          <w:lang w:val="en-US" w:eastAsia="zh-CN"/>
        </w:rPr>
        <w:t>（二）硬件建设</w:t>
      </w:r>
      <w:bookmarkEnd w:id="11"/>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strike w:val="0"/>
          <w:dstrike w:val="0"/>
          <w:color w:val="auto"/>
          <w:sz w:val="32"/>
          <w:szCs w:val="32"/>
          <w:lang w:val="en-US" w:eastAsia="zh-CN"/>
        </w:rPr>
        <w:t>2023年，</w:t>
      </w:r>
      <w:r>
        <w:rPr>
          <w:rFonts w:hint="eastAsia" w:ascii="仿宋" w:hAnsi="仿宋" w:eastAsia="仿宋" w:cs="仿宋"/>
          <w:b w:val="0"/>
          <w:bCs w:val="0"/>
          <w:color w:val="auto"/>
          <w:sz w:val="32"/>
          <w:szCs w:val="32"/>
          <w:lang w:val="en-US" w:eastAsia="zh-CN"/>
        </w:rPr>
        <w:t>学校校园面积75.75万平方米（1100余亩），建筑面积50.5万平方米，固定资产总值64064.76万元，其中教学科研仪器设备资产总值7522.95万元，纸质图书116.7万册，建有19个实践教学中心，实践教学工位数13284个。</w:t>
      </w:r>
      <w:r>
        <w:rPr>
          <w:rFonts w:hint="eastAsia" w:ascii="仿宋" w:hAnsi="仿宋" w:eastAsia="仿宋" w:cs="仿宋"/>
          <w:color w:val="auto"/>
          <w:sz w:val="32"/>
          <w:szCs w:val="32"/>
          <w:lang w:val="en-US" w:eastAsia="zh-CN"/>
        </w:rPr>
        <w:t>为适应学生规模的进一步扩大，学校围绕教学科研仪器设备购置等持续加大投入和建设，详情见表2：</w:t>
      </w:r>
    </w:p>
    <w:p>
      <w:pPr>
        <w:pStyle w:val="30"/>
        <w:bidi w:val="0"/>
        <w:rPr>
          <w:rFonts w:hint="eastAsia"/>
          <w:lang w:val="en-US" w:eastAsia="zh-CN"/>
        </w:rPr>
      </w:pPr>
      <w:bookmarkStart w:id="12" w:name="_Toc27539"/>
      <w:r>
        <w:rPr>
          <w:rFonts w:hint="eastAsia"/>
          <w:lang w:val="en-US" w:eastAsia="zh-CN"/>
        </w:rPr>
        <w:t>表2  硬件投入一览表</w:t>
      </w:r>
      <w:bookmarkEnd w:id="12"/>
    </w:p>
    <w:tbl>
      <w:tblPr>
        <w:tblStyle w:val="12"/>
        <w:tblW w:w="5057" w:type="pct"/>
        <w:jc w:val="center"/>
        <w:shd w:val="clear" w:color="auto" w:fill="auto"/>
        <w:tblLayout w:type="autofit"/>
        <w:tblCellMar>
          <w:top w:w="0" w:type="dxa"/>
          <w:left w:w="0" w:type="dxa"/>
          <w:bottom w:w="0" w:type="dxa"/>
          <w:right w:w="0" w:type="dxa"/>
        </w:tblCellMar>
      </w:tblPr>
      <w:tblGrid>
        <w:gridCol w:w="2523"/>
        <w:gridCol w:w="1967"/>
        <w:gridCol w:w="1967"/>
        <w:gridCol w:w="1968"/>
      </w:tblGrid>
      <w:tr>
        <w:tblPrEx>
          <w:shd w:val="clear" w:color="auto" w:fill="auto"/>
          <w:tblCellMar>
            <w:top w:w="0" w:type="dxa"/>
            <w:left w:w="0" w:type="dxa"/>
            <w:bottom w:w="0" w:type="dxa"/>
            <w:right w:w="0" w:type="dxa"/>
          </w:tblCellMar>
        </w:tblPrEx>
        <w:trPr>
          <w:trHeight w:val="567" w:hRule="atLeast"/>
          <w:tblHeader/>
          <w:jc w:val="center"/>
        </w:trPr>
        <w:tc>
          <w:tcPr>
            <w:tcW w:w="149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rPr>
            </w:pPr>
            <w:r>
              <w:rPr>
                <w:rFonts w:hint="eastAsia" w:ascii="仿宋" w:hAnsi="仿宋" w:eastAsia="仿宋" w:cs="仿宋"/>
                <w:b/>
                <w:bCs/>
                <w:i w:val="0"/>
                <w:color w:val="auto"/>
                <w:kern w:val="0"/>
                <w:sz w:val="24"/>
                <w:szCs w:val="24"/>
                <w:u w:val="none"/>
                <w:lang w:val="en-US" w:eastAsia="zh-CN" w:bidi="ar"/>
              </w:rPr>
              <w:t>项目</w:t>
            </w:r>
          </w:p>
        </w:tc>
        <w:tc>
          <w:tcPr>
            <w:tcW w:w="11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lang w:val="en-US"/>
              </w:rPr>
            </w:pPr>
            <w:r>
              <w:rPr>
                <w:rFonts w:hint="eastAsia" w:ascii="仿宋" w:hAnsi="仿宋" w:eastAsia="仿宋" w:cs="仿宋"/>
                <w:b/>
                <w:bCs/>
                <w:i w:val="0"/>
                <w:color w:val="auto"/>
                <w:kern w:val="0"/>
                <w:sz w:val="24"/>
                <w:szCs w:val="24"/>
                <w:u w:val="none"/>
                <w:lang w:val="en-US" w:eastAsia="zh-CN" w:bidi="ar"/>
              </w:rPr>
              <w:t>数值</w:t>
            </w:r>
          </w:p>
        </w:tc>
        <w:tc>
          <w:tcPr>
            <w:tcW w:w="11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rPr>
            </w:pPr>
            <w:r>
              <w:rPr>
                <w:rFonts w:hint="eastAsia" w:ascii="仿宋" w:hAnsi="仿宋" w:eastAsia="仿宋" w:cs="仿宋"/>
                <w:b/>
                <w:bCs/>
                <w:i w:val="0"/>
                <w:color w:val="auto"/>
                <w:kern w:val="0"/>
                <w:sz w:val="24"/>
                <w:szCs w:val="24"/>
                <w:u w:val="none"/>
                <w:lang w:val="en-US" w:eastAsia="zh-CN" w:bidi="ar"/>
              </w:rPr>
              <w:t>年增量</w:t>
            </w:r>
          </w:p>
        </w:tc>
        <w:tc>
          <w:tcPr>
            <w:tcW w:w="11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增长率</w:t>
            </w:r>
          </w:p>
        </w:tc>
      </w:tr>
      <w:tr>
        <w:tblPrEx>
          <w:tblCellMar>
            <w:top w:w="0" w:type="dxa"/>
            <w:left w:w="0" w:type="dxa"/>
            <w:bottom w:w="0" w:type="dxa"/>
            <w:right w:w="0" w:type="dxa"/>
          </w:tblCellMar>
        </w:tblPrEx>
        <w:trPr>
          <w:trHeight w:val="567" w:hRule="atLeast"/>
          <w:jc w:val="center"/>
        </w:trPr>
        <w:tc>
          <w:tcPr>
            <w:tcW w:w="149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auto"/>
                <w:kern w:val="0"/>
                <w:sz w:val="24"/>
                <w:szCs w:val="24"/>
                <w:u w:val="none"/>
                <w:lang w:val="en-US" w:eastAsia="zh-CN" w:bidi="ar"/>
              </w:rPr>
            </w:pPr>
            <w:r>
              <w:rPr>
                <w:rFonts w:hint="eastAsia" w:ascii="仿宋" w:hAnsi="仿宋" w:eastAsia="仿宋" w:cs="仿宋"/>
                <w:b w:val="0"/>
                <w:bCs w:val="0"/>
                <w:i w:val="0"/>
                <w:color w:val="auto"/>
                <w:kern w:val="0"/>
                <w:sz w:val="24"/>
                <w:szCs w:val="24"/>
                <w:u w:val="none"/>
                <w:lang w:val="en-US" w:eastAsia="zh-CN" w:bidi="ar"/>
              </w:rPr>
              <w:t>教学科研仪器设备总值</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7522.952万元</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826.7307万元</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12.35%</w:t>
            </w:r>
          </w:p>
        </w:tc>
      </w:tr>
      <w:tr>
        <w:tblPrEx>
          <w:tblCellMar>
            <w:top w:w="0" w:type="dxa"/>
            <w:left w:w="0" w:type="dxa"/>
            <w:bottom w:w="0" w:type="dxa"/>
            <w:right w:w="0" w:type="dxa"/>
          </w:tblCellMar>
        </w:tblPrEx>
        <w:trPr>
          <w:trHeight w:val="567" w:hRule="atLeast"/>
          <w:jc w:val="center"/>
        </w:trPr>
        <w:tc>
          <w:tcPr>
            <w:tcW w:w="149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纸质图书</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116.6998万册</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6.5036万册</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5.9%</w:t>
            </w:r>
          </w:p>
        </w:tc>
      </w:tr>
      <w:tr>
        <w:tblPrEx>
          <w:tblCellMar>
            <w:top w:w="0" w:type="dxa"/>
            <w:left w:w="0" w:type="dxa"/>
            <w:bottom w:w="0" w:type="dxa"/>
            <w:right w:w="0" w:type="dxa"/>
          </w:tblCellMar>
        </w:tblPrEx>
        <w:trPr>
          <w:trHeight w:val="567" w:hRule="atLeast"/>
          <w:jc w:val="center"/>
        </w:trPr>
        <w:tc>
          <w:tcPr>
            <w:tcW w:w="149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电子图书</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66.5000万册</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2.5万册</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3.75%</w:t>
            </w:r>
          </w:p>
        </w:tc>
      </w:tr>
      <w:tr>
        <w:tblPrEx>
          <w:shd w:val="clear" w:color="auto" w:fill="auto"/>
          <w:tblCellMar>
            <w:top w:w="0" w:type="dxa"/>
            <w:left w:w="0" w:type="dxa"/>
            <w:bottom w:w="0" w:type="dxa"/>
            <w:right w:w="0" w:type="dxa"/>
          </w:tblCellMar>
        </w:tblPrEx>
        <w:trPr>
          <w:trHeight w:val="567" w:hRule="atLeast"/>
          <w:jc w:val="center"/>
        </w:trPr>
        <w:tc>
          <w:tcPr>
            <w:tcW w:w="149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实践教学工位数</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13284个</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1341个</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11.23%</w:t>
            </w:r>
          </w:p>
        </w:tc>
      </w:tr>
    </w:tbl>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3" w:name="_Toc9882"/>
      <w:r>
        <w:rPr>
          <w:rFonts w:hint="eastAsia" w:ascii="仿宋" w:hAnsi="仿宋" w:eastAsia="仿宋" w:cs="仿宋"/>
          <w:b/>
          <w:bCs/>
          <w:color w:val="auto"/>
          <w:sz w:val="32"/>
          <w:szCs w:val="32"/>
          <w:lang w:val="en-US" w:eastAsia="zh-CN"/>
        </w:rPr>
        <w:t>（三）队伍建设</w:t>
      </w:r>
      <w:bookmarkEnd w:id="13"/>
    </w:p>
    <w:p>
      <w:pPr>
        <w:spacing w:line="240" w:lineRule="auto"/>
        <w:ind w:firstLine="640" w:firstLineChars="200"/>
        <w:rPr>
          <w:rFonts w:hint="eastAsia" w:ascii="仿宋" w:hAnsi="仿宋" w:eastAsia="仿宋" w:cs="仿宋"/>
          <w:strike w:val="0"/>
          <w:dstrike w:val="0"/>
          <w:color w:val="auto"/>
          <w:sz w:val="32"/>
          <w:szCs w:val="32"/>
          <w:lang w:val="en-US" w:eastAsia="zh-CN"/>
        </w:rPr>
      </w:pPr>
      <w:r>
        <w:rPr>
          <w:rFonts w:hint="eastAsia" w:ascii="仿宋" w:hAnsi="仿宋" w:eastAsia="仿宋" w:cs="仿宋"/>
          <w:strike w:val="0"/>
          <w:dstrike w:val="0"/>
          <w:color w:val="auto"/>
          <w:sz w:val="32"/>
          <w:szCs w:val="32"/>
          <w:lang w:val="en-US" w:eastAsia="zh-CN"/>
        </w:rPr>
        <w:t>学校坚持“引带培、教产研、训赛证、考评聘、管保奖”十五字措施，大力开展师资队伍建设。2023年，学校引进教师98人，其中高学历教师71人，高职称教师6人；评定副高级职称教师6人，中级职称教师18人，初级职称教师60人；组织教师参与岗前培训106人、国培14人、网络培训982人次、挂职锻炼12人、学历提升1人。</w:t>
      </w:r>
    </w:p>
    <w:p>
      <w:pPr>
        <w:spacing w:line="240" w:lineRule="auto"/>
        <w:jc w:val="center"/>
        <w:rPr>
          <w:rFonts w:hint="eastAsia" w:ascii="仿宋" w:hAnsi="仿宋" w:eastAsia="仿宋" w:cs="仿宋"/>
          <w:strike w:val="0"/>
          <w:dstrike w:val="0"/>
          <w:color w:val="auto"/>
          <w:sz w:val="32"/>
          <w:szCs w:val="32"/>
          <w:lang w:val="en-US" w:eastAsia="zh-CN"/>
        </w:rPr>
      </w:pPr>
      <w:r>
        <w:rPr>
          <w:rFonts w:hint="eastAsia" w:ascii="仿宋" w:hAnsi="仿宋" w:eastAsia="仿宋" w:cs="仿宋"/>
          <w:strike w:val="0"/>
          <w:dstrike w:val="0"/>
          <w:color w:val="auto"/>
          <w:sz w:val="32"/>
          <w:szCs w:val="32"/>
          <w:lang w:val="en-US" w:eastAsia="zh-CN"/>
        </w:rPr>
        <w:drawing>
          <wp:inline distT="0" distB="0" distL="114300" distR="114300">
            <wp:extent cx="4326255" cy="2957195"/>
            <wp:effectExtent l="0" t="0" r="4445" b="1905"/>
            <wp:docPr id="45" name="图片 45" descr="DSC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SC05250"/>
                    <pic:cNvPicPr>
                      <a:picLocks noChangeAspect="1"/>
                    </pic:cNvPicPr>
                  </pic:nvPicPr>
                  <pic:blipFill>
                    <a:blip r:embed="rId13"/>
                    <a:stretch>
                      <a:fillRect/>
                    </a:stretch>
                  </pic:blipFill>
                  <pic:spPr>
                    <a:xfrm>
                      <a:off x="0" y="0"/>
                      <a:ext cx="4326255" cy="2957195"/>
                    </a:xfrm>
                    <a:prstGeom prst="rect">
                      <a:avLst/>
                    </a:prstGeom>
                  </pic:spPr>
                </pic:pic>
              </a:graphicData>
            </a:graphic>
          </wp:inline>
        </w:drawing>
      </w:r>
    </w:p>
    <w:p>
      <w:pPr>
        <w:pStyle w:val="31"/>
        <w:bidi w:val="0"/>
        <w:rPr>
          <w:rFonts w:hint="default"/>
          <w:lang w:val="en-US" w:eastAsia="zh-CN"/>
        </w:rPr>
      </w:pPr>
      <w:bookmarkStart w:id="14" w:name="_Toc14422"/>
      <w:r>
        <w:rPr>
          <w:rFonts w:hint="eastAsia"/>
          <w:lang w:val="en-US" w:eastAsia="zh-CN"/>
        </w:rPr>
        <w:t>图2  学校持续加强教师队伍建设，开展2023年度职称评审工作</w:t>
      </w:r>
      <w:bookmarkEnd w:id="14"/>
    </w:p>
    <w:p>
      <w:pPr>
        <w:spacing w:line="240" w:lineRule="auto"/>
        <w:ind w:firstLine="640" w:firstLineChars="200"/>
        <w:rPr>
          <w:rFonts w:hint="eastAsia" w:ascii="仿宋" w:hAnsi="仿宋" w:eastAsia="仿宋" w:cs="仿宋"/>
          <w:strike w:val="0"/>
          <w:dstrike w:val="0"/>
          <w:color w:val="auto"/>
          <w:sz w:val="32"/>
          <w:szCs w:val="32"/>
          <w:lang w:val="en-US" w:eastAsia="zh-CN"/>
        </w:rPr>
      </w:pPr>
      <w:r>
        <w:rPr>
          <w:rFonts w:hint="eastAsia" w:ascii="仿宋" w:hAnsi="仿宋" w:eastAsia="仿宋" w:cs="仿宋"/>
          <w:strike w:val="0"/>
          <w:dstrike w:val="0"/>
          <w:color w:val="auto"/>
          <w:sz w:val="32"/>
          <w:szCs w:val="32"/>
          <w:lang w:val="en-US" w:eastAsia="zh-CN"/>
        </w:rPr>
        <w:t>2023年，学校教师积极参加四川省职业院校教师教学能力大赛等省市级赛项，荣获奖项13项；教师积极投身科研教改，获批四川省教育厅、泸州科技局等省市级课题立项35项，发表论文70篇，获取专利授权6项，成果获各级各类奖项10项，详情见表3-7：</w:t>
      </w:r>
    </w:p>
    <w:p>
      <w:pPr>
        <w:spacing w:line="240"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drawing>
          <wp:inline distT="0" distB="0" distL="114300" distR="114300">
            <wp:extent cx="2571115" cy="1748790"/>
            <wp:effectExtent l="0" t="0" r="635" b="3810"/>
            <wp:docPr id="46" name="图片 46" descr="YT5NDAV`KRBO{DMT38F]S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YT5NDAV`KRBO{DMT38F]SBK"/>
                    <pic:cNvPicPr>
                      <a:picLocks noChangeAspect="1"/>
                    </pic:cNvPicPr>
                  </pic:nvPicPr>
                  <pic:blipFill>
                    <a:blip r:embed="rId14"/>
                    <a:stretch>
                      <a:fillRect/>
                    </a:stretch>
                  </pic:blipFill>
                  <pic:spPr>
                    <a:xfrm>
                      <a:off x="0" y="0"/>
                      <a:ext cx="2571115" cy="1748790"/>
                    </a:xfrm>
                    <a:prstGeom prst="rect">
                      <a:avLst/>
                    </a:prstGeom>
                  </pic:spPr>
                </pic:pic>
              </a:graphicData>
            </a:graphic>
          </wp:inline>
        </w:drawing>
      </w:r>
      <w:r>
        <w:rPr>
          <w:rFonts w:hint="eastAsia" w:ascii="仿宋" w:hAnsi="仿宋" w:eastAsia="仿宋" w:cs="仿宋"/>
          <w:b/>
          <w:bCs/>
          <w:color w:val="auto"/>
          <w:sz w:val="11"/>
          <w:szCs w:val="11"/>
          <w:lang w:val="en-US" w:eastAsia="zh-CN"/>
        </w:rPr>
        <w:t xml:space="preserve"> </w:t>
      </w:r>
      <w:r>
        <w:rPr>
          <w:rFonts w:hint="eastAsia" w:ascii="仿宋" w:hAnsi="仿宋" w:eastAsia="仿宋" w:cs="仿宋"/>
          <w:b/>
          <w:bCs/>
          <w:color w:val="auto"/>
          <w:sz w:val="28"/>
          <w:szCs w:val="28"/>
          <w:lang w:val="en-US" w:eastAsia="zh-CN"/>
        </w:rPr>
        <w:drawing>
          <wp:inline distT="0" distB="0" distL="114300" distR="114300">
            <wp:extent cx="2545080" cy="1743710"/>
            <wp:effectExtent l="0" t="0" r="7620" b="8890"/>
            <wp:docPr id="47" name="图片 47" descr="F1W_6$XHOCUML{737WY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1W_6$XHOCUML{737WYB}%7"/>
                    <pic:cNvPicPr>
                      <a:picLocks noChangeAspect="1"/>
                    </pic:cNvPicPr>
                  </pic:nvPicPr>
                  <pic:blipFill>
                    <a:blip r:embed="rId15"/>
                    <a:stretch>
                      <a:fillRect/>
                    </a:stretch>
                  </pic:blipFill>
                  <pic:spPr>
                    <a:xfrm>
                      <a:off x="0" y="0"/>
                      <a:ext cx="2545080" cy="1743710"/>
                    </a:xfrm>
                    <a:prstGeom prst="rect">
                      <a:avLst/>
                    </a:prstGeom>
                  </pic:spPr>
                </pic:pic>
              </a:graphicData>
            </a:graphic>
          </wp:inline>
        </w:drawing>
      </w:r>
    </w:p>
    <w:p>
      <w:pPr>
        <w:pStyle w:val="31"/>
        <w:bidi w:val="0"/>
        <w:rPr>
          <w:rFonts w:hint="default"/>
          <w:lang w:val="en-US" w:eastAsia="zh-CN"/>
        </w:rPr>
      </w:pPr>
      <w:bookmarkStart w:id="15" w:name="_Toc26557"/>
      <w:r>
        <w:rPr>
          <w:rFonts w:hint="eastAsia"/>
          <w:lang w:val="en-US" w:eastAsia="zh-CN"/>
        </w:rPr>
        <w:t>图3 学校以赛促教，常态化举办课程思政教学比赛、教学能力大赛</w:t>
      </w:r>
      <w:bookmarkEnd w:id="15"/>
    </w:p>
    <w:p>
      <w:pPr>
        <w:pStyle w:val="30"/>
        <w:bidi w:val="0"/>
        <w:rPr>
          <w:rFonts w:hint="eastAsia"/>
          <w:lang w:val="en-US" w:eastAsia="zh-CN"/>
        </w:rPr>
      </w:pPr>
      <w:bookmarkStart w:id="16" w:name="_Toc25112"/>
      <w:r>
        <w:rPr>
          <w:rFonts w:hint="eastAsia"/>
          <w:lang w:val="en-US" w:eastAsia="zh-CN"/>
        </w:rPr>
        <w:t>表3  教师参加大赛获奖一览表</w:t>
      </w:r>
      <w:bookmarkEnd w:id="16"/>
    </w:p>
    <w:tbl>
      <w:tblPr>
        <w:tblStyle w:val="12"/>
        <w:tblW w:w="8906" w:type="dxa"/>
        <w:jc w:val="center"/>
        <w:shd w:val="clear" w:color="auto" w:fill="auto"/>
        <w:tblLayout w:type="fixed"/>
        <w:tblCellMar>
          <w:top w:w="0" w:type="dxa"/>
          <w:left w:w="0" w:type="dxa"/>
          <w:bottom w:w="0" w:type="dxa"/>
          <w:right w:w="0" w:type="dxa"/>
        </w:tblCellMar>
      </w:tblPr>
      <w:tblGrid>
        <w:gridCol w:w="767"/>
        <w:gridCol w:w="5177"/>
        <w:gridCol w:w="864"/>
        <w:gridCol w:w="1008"/>
        <w:gridCol w:w="1090"/>
      </w:tblGrid>
      <w:tr>
        <w:tblPrEx>
          <w:shd w:val="clear" w:color="auto" w:fill="auto"/>
          <w:tblCellMar>
            <w:top w:w="0" w:type="dxa"/>
            <w:left w:w="0" w:type="dxa"/>
            <w:bottom w:w="0" w:type="dxa"/>
            <w:right w:w="0" w:type="dxa"/>
          </w:tblCellMar>
        </w:tblPrEx>
        <w:trPr>
          <w:trHeight w:val="567" w:hRule="atLeast"/>
          <w:tblHeader/>
          <w:jc w:val="center"/>
        </w:trPr>
        <w:tc>
          <w:tcPr>
            <w:tcW w:w="76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序号</w:t>
            </w:r>
          </w:p>
        </w:tc>
        <w:tc>
          <w:tcPr>
            <w:tcW w:w="51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赛项</w:t>
            </w:r>
          </w:p>
        </w:tc>
        <w:tc>
          <w:tcPr>
            <w:tcW w:w="86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级别</w:t>
            </w:r>
          </w:p>
        </w:tc>
        <w:tc>
          <w:tcPr>
            <w:tcW w:w="100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等次</w:t>
            </w:r>
          </w:p>
        </w:tc>
        <w:tc>
          <w:tcPr>
            <w:tcW w:w="10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lang w:eastAsia="zh-CN"/>
              </w:rPr>
            </w:pPr>
            <w:r>
              <w:rPr>
                <w:rFonts w:hint="eastAsia" w:ascii="仿宋" w:hAnsi="仿宋" w:eastAsia="仿宋" w:cs="仿宋"/>
                <w:b/>
                <w:i w:val="0"/>
                <w:color w:val="auto"/>
                <w:sz w:val="24"/>
                <w:szCs w:val="24"/>
                <w:u w:val="none"/>
                <w:lang w:eastAsia="zh-CN"/>
              </w:rPr>
              <w:t>获奖人</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5177"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2023年四川省职业院校教师教学能力大赛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祁小宇等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5177"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二等奖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陈志勇等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5177" w:type="dxa"/>
            <w:vMerge w:val="continue"/>
            <w:tcBorders>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李玉连等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5177" w:type="dxa"/>
            <w:vMerge w:val="restart"/>
            <w:tcBorders>
              <w:top w:val="single" w:color="auto"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2023年四川省师生信息素养提升实践活动（教师部分）</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二等奖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杜莉莉等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5177"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邓敏等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c>
          <w:tcPr>
            <w:tcW w:w="5177"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王康等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7</w:t>
            </w:r>
          </w:p>
        </w:tc>
        <w:tc>
          <w:tcPr>
            <w:tcW w:w="5177" w:type="dxa"/>
            <w:vMerge w:val="continue"/>
            <w:tcBorders>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钱康亮等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5177"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四川省首届康养护理职业技能大赛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杜莉莉</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5177"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四川省高校体育教师基本功大赛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郑杰</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5177"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“启航新征程，同心向未来”第二届川渝青年教师风采大赛优秀奖</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优秀奖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艾雪妮</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5177"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“巴蜀工匠”杯乡村振兴技术技能大赛（蔬菜嫁接）</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省级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优胜奖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任璇</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5177" w:type="dxa"/>
            <w:tcBorders>
              <w:top w:val="single" w:color="auto"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泸州市第二届“酒城工匠杯”职业技能大赛（砌筑赛项）</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市级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蒲先训</w:t>
            </w:r>
          </w:p>
        </w:tc>
      </w:tr>
      <w:tr>
        <w:tblPrEx>
          <w:tblCellMar>
            <w:top w:w="0" w:type="dxa"/>
            <w:left w:w="0" w:type="dxa"/>
            <w:bottom w:w="0" w:type="dxa"/>
            <w:right w:w="0" w:type="dxa"/>
          </w:tblCellMar>
        </w:tblPrEx>
        <w:trPr>
          <w:trHeight w:val="567"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5177"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2023年科普讲解大赛</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市级</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三等奖</w:t>
            </w:r>
          </w:p>
        </w:tc>
        <w:tc>
          <w:tcPr>
            <w:tcW w:w="10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李珺雅</w:t>
            </w:r>
          </w:p>
        </w:tc>
      </w:tr>
    </w:tbl>
    <w:p>
      <w:pPr>
        <w:pStyle w:val="30"/>
        <w:bidi w:val="0"/>
        <w:rPr>
          <w:rFonts w:hint="eastAsia"/>
          <w:lang w:val="en-US" w:eastAsia="zh-CN"/>
        </w:rPr>
      </w:pPr>
      <w:bookmarkStart w:id="17" w:name="_Toc28313"/>
      <w:bookmarkStart w:id="18" w:name="_Toc9368"/>
      <w:r>
        <w:rPr>
          <w:rFonts w:hint="eastAsia"/>
          <w:lang w:val="en-US" w:eastAsia="zh-CN"/>
        </w:rPr>
        <w:t>表4  教师公开发表论文一览表</w:t>
      </w:r>
      <w:bookmarkEnd w:id="17"/>
    </w:p>
    <w:tbl>
      <w:tblPr>
        <w:tblStyle w:val="12"/>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5524"/>
        <w:gridCol w:w="192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blHeader/>
          <w:jc w:val="center"/>
        </w:trPr>
        <w:tc>
          <w:tcPr>
            <w:tcW w:w="720" w:type="dxa"/>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kern w:val="0"/>
                <w:sz w:val="24"/>
                <w:szCs w:val="24"/>
                <w:u w:val="none"/>
                <w:lang w:val="en-US" w:eastAsia="zh-CN" w:bidi="ar"/>
              </w:rPr>
            </w:pPr>
            <w:r>
              <w:rPr>
                <w:rFonts w:hint="eastAsia" w:ascii="仿宋" w:hAnsi="仿宋" w:eastAsia="仿宋" w:cs="仿宋"/>
                <w:b/>
                <w:i w:val="0"/>
                <w:color w:val="000000"/>
                <w:kern w:val="0"/>
                <w:sz w:val="24"/>
                <w:szCs w:val="24"/>
                <w:u w:val="none"/>
                <w:lang w:val="en-US" w:eastAsia="zh-CN" w:bidi="ar"/>
              </w:rPr>
              <w:t>序号</w:t>
            </w:r>
          </w:p>
        </w:tc>
        <w:tc>
          <w:tcPr>
            <w:tcW w:w="5524" w:type="dxa"/>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kern w:val="0"/>
                <w:sz w:val="24"/>
                <w:szCs w:val="24"/>
                <w:u w:val="none"/>
                <w:lang w:val="en-US" w:eastAsia="zh-CN" w:bidi="ar"/>
              </w:rPr>
            </w:pPr>
            <w:r>
              <w:rPr>
                <w:rFonts w:hint="eastAsia" w:ascii="仿宋" w:hAnsi="仿宋" w:eastAsia="仿宋" w:cs="仿宋"/>
                <w:b/>
                <w:i w:val="0"/>
                <w:color w:val="000000"/>
                <w:kern w:val="0"/>
                <w:sz w:val="24"/>
                <w:szCs w:val="24"/>
                <w:u w:val="none"/>
                <w:lang w:val="en-US" w:eastAsia="zh-CN" w:bidi="ar"/>
              </w:rPr>
              <w:t>文章名称</w:t>
            </w:r>
          </w:p>
        </w:tc>
        <w:tc>
          <w:tcPr>
            <w:tcW w:w="1925" w:type="dxa"/>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kern w:val="0"/>
                <w:sz w:val="24"/>
                <w:szCs w:val="24"/>
                <w:u w:val="none"/>
                <w:lang w:val="en-US" w:eastAsia="zh-CN" w:bidi="ar"/>
              </w:rPr>
            </w:pPr>
            <w:r>
              <w:rPr>
                <w:rFonts w:hint="eastAsia" w:ascii="仿宋" w:hAnsi="仿宋" w:eastAsia="仿宋" w:cs="仿宋"/>
                <w:b/>
                <w:i w:val="0"/>
                <w:color w:val="000000"/>
                <w:kern w:val="0"/>
                <w:sz w:val="24"/>
                <w:szCs w:val="24"/>
                <w:u w:val="none"/>
                <w:lang w:val="en-US" w:eastAsia="zh-CN" w:bidi="ar"/>
              </w:rPr>
              <w:t>刊物名称</w:t>
            </w:r>
          </w:p>
        </w:tc>
        <w:tc>
          <w:tcPr>
            <w:tcW w:w="1065" w:type="dxa"/>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kern w:val="0"/>
                <w:sz w:val="24"/>
                <w:szCs w:val="24"/>
                <w:u w:val="none"/>
                <w:lang w:val="en-US" w:eastAsia="zh-CN" w:bidi="ar"/>
              </w:rPr>
            </w:pPr>
            <w:r>
              <w:rPr>
                <w:rFonts w:hint="eastAsia" w:ascii="仿宋" w:hAnsi="仿宋" w:eastAsia="仿宋" w:cs="仿宋"/>
                <w:b/>
                <w:i w:val="0"/>
                <w:color w:val="000000"/>
                <w:kern w:val="0"/>
                <w:sz w:val="24"/>
                <w:szCs w:val="24"/>
                <w:u w:val="none"/>
                <w:lang w:val="en-US" w:eastAsia="zh-CN" w:bidi="ar"/>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不平衡样本下基于CVAE和CNN的结构损伤识别方法</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土木工程与管理学报</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蔡东成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基于神经网络的汽车发动机机械设备故障定位</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机械与电子</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冯斌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转向工况下的混合动力汽车电子差速控制技术</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机械与电子</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梁洪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基于图像局部滤波去噪增强算法的图像语义分割模型</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机械设计与制造工程</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钱康亮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红层区残坡积土力学特性与降雨失稳机理研究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矿产与地质</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张柳金等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数字经济赋能产业结构升级的机理与路径</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产业创新研究</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李红英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职业院校诊改疲软现状与破解策略研究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高教学刊</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蒲先祥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建筑工程管理中全过程造价控制的策略思考</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科技潮</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桂君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汽车检修诊断技术在汽车维修中的应用</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科学与技术</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姚建凤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新时期高职高专网页美工技术课程的项目化研究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科研管理</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高职院校实训室文化建设理论和实践的探索</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现代职业教育</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卢喜宏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浅谈高职院校“三层面三环节”管理体系</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现代职业教育</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卢喜宏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高职院校计算机应用基础课程的分层教学实践</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教育</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陶蔺波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文旅融合视角下非物质文化遗产“福宝高腔山歌”的保护与传承研究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民族文汇·教学与实践</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何霞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CO2气体保护焊在实践教学课程中的技术研究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哈博士·教育研究</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刘鹏飞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大专应届生担任血液透析专科护士的职业前景分析</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医师在线</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黄燕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泸州市农业产业职业教育培训问题研究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教育</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吴芳等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“互联网+”背景下汽车营销管理模式的创新研究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中国科技人才</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刘丽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简析我国新能源汽车的现状级发展前景</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中国科技人才</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张卫东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绿色理念下建筑工程现场施工管理优化手段</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城镇建设</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兰小华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装配式建筑工程造价的影响因素及应对策略</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城镇建设</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钟廷勇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建筑工程造价管理的问题及优化建议</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城镇建设</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周燕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全过程工程造价的影响因素及应对策略</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城镇建设</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罗英莉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基于工作室教学模式的机械设计与制造专业教学改革研究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知识-力量</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李凌林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浅谈高职辅导员提高工作效率的途径</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中国科技人才</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王玲瑶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高职扩招背景下高职院校对“四辅人员”的思想政治教育工作研究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魅力中国</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冷春霞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大专护生职业认同感现状及促进对策研究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科教创新与实践</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胡元梅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探究首届高职扩招毕业生“四辅人员”之退役军人就业创业现状及能力提升策略——以四川三河职业学院为例</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知识-力量</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冷春霞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自然拼接法在高职英语教学中的运用策略</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双语教育研究</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陈载阳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30</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关于高职院校建设教师发展中心的困境、必要性及策略</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教育进展</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赵东霞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“双减”助推教育高质量发展实现实效性思考</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教育进展</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赵东霞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32</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高职机械设计与制造专业人才培养模式的改革与时间研究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中国科技人才</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韩振宇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33</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新时代高等职业教育专业课程多元评价体系探索与实践——以“数控加工工艺与编程”课程为例</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知识-力量</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34</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面向高职机械设计与制造专业产教研融合的校内实训建设分析</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知识-力量</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寨桢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35</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老年服务与管理专业人才需求及管理分析</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科学与生活</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王霞琳等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36</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“项目+基地+现场”三位一体建筑人才培养模式实践</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教学与研究</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张柳金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37</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泸州市城乡儿童启蒙教师专业发展共同体建设研究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易显利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38</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古蔺赶黄草的研究现状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健康文摘</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39</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《急救护理学》实践教学中“三阶教学法”的构建与实践——以“心肺复苏实践教学”为例</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大众文摘</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杨丽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40</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大健康理念下医务社会工作发展与对策研究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教学与研究</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陈婷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41</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学前教育专业学生专业素养培养策略——以四川三河职业学院为例</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世纪之星</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王玉梅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42</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微课结合案例教学法在骨科临床护理带教中的应用</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旅行医学科学</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李源勤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43</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慢性心力衰竭患者的临床护理干预对其心功能状况及生活质量的影响分析</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旅行医学科学</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詹莉华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44</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神经内科临床护理带教中PBL教学法的应用研究</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旅行医学科学</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周文敏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45</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新新势下高职计算机基础教改的探索与实践</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装备技术</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吴芳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46</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高职计算机基础教改提升学生创新能力的方法初探</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向导-学术研究</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吴芳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shd w:val="clear" w:color="auto" w:fill="auto"/>
            <w:noWrap/>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47</w:t>
            </w:r>
          </w:p>
        </w:tc>
        <w:tc>
          <w:tcPr>
            <w:tcW w:w="5524"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走进本草课程教学资源的探索与建设</w:t>
            </w:r>
          </w:p>
        </w:tc>
        <w:tc>
          <w:tcPr>
            <w:tcW w:w="192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大众文摘</w:t>
            </w:r>
          </w:p>
        </w:tc>
        <w:tc>
          <w:tcPr>
            <w:tcW w:w="1065"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48</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药用原植物根茎类中药特征综述</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东方医学与健康</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唐堃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49</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中药资源的保护与可持续利用探究</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中国医学人文</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王凤杰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50</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物理疗法为主的综合康复治疗对脑卒中后肌张力增高患者的效果分析与探讨</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旅行医学科学</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51</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基于“岗课赛证融通”《学前教育学》课程建设与课程教学改革研究</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向导-学术研究</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王启念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52</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新形势下高校职业教育发展存在的问题及策略分析</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护理前沿</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蒋吉清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53</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高职护理教育中应用混合式教学模式的思考与实践</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科教创新与实践</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54</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大专护生基础护理教学中开展职业防护教育的效果</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科教创新与实践</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赖伊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55</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体验式学习在大专康复实训教学中的应用策略</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科教创新与实践</w:t>
            </w:r>
          </w:p>
        </w:tc>
        <w:tc>
          <w:tcPr>
            <w:tcW w:w="0" w:type="auto"/>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饶春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56</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高职学生就业竞争力提升路径研究——以四川三河职业学院为例</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知识-力量</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57</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就业能力培养视角下的高校教育管理开展研究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大学</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58</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“岗课赛证”嵌入高职院校学前教育专业人才培养中的策略研究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大学</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王玉梅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59</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专科院校学生管理中和谐师生关系的构建研究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牟庆容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60</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论音乐教学中人文素养的渗透开展</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熊程渝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61</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互联网时代专科辅导员学生管理能力提升策略研究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何建平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62</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高职音乐课教学模式的研究与思考</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周剑峰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63</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提升音乐教学水平的策略研究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64</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专科院校辅导员学生管理能力弱化原因分析</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牟庆容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65</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新形式下专科院校辅导员学生管理工作方法探析</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邢世东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66</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高职院校实践教学管理模式改革及创新分析</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探索科学</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罗力恩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67</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教育改革下基础护理学教学方法的探索</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生活文摘</w:t>
            </w:r>
          </w:p>
        </w:tc>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杜莉莉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68</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高职院校“学前儿童游戏”课程教学方法改革研究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黄燕如等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69</w:t>
            </w:r>
          </w:p>
        </w:tc>
        <w:tc>
          <w:tcPr>
            <w:tcW w:w="552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泸州市0-3岁婴幼儿托育机构师资队伍的现状分析及对策研究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哈博士·教育研究</w:t>
            </w:r>
          </w:p>
        </w:tc>
        <w:tc>
          <w:tcPr>
            <w:tcW w:w="1065"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黄燕如等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bookmarkStart w:id="19" w:name="_Toc4562"/>
            <w:r>
              <w:rPr>
                <w:rFonts w:hint="eastAsia" w:ascii="仿宋" w:hAnsi="仿宋" w:eastAsia="仿宋" w:cs="仿宋"/>
                <w:i w:val="0"/>
                <w:iCs w:val="0"/>
                <w:color w:val="auto"/>
                <w:kern w:val="0"/>
                <w:sz w:val="24"/>
                <w:szCs w:val="24"/>
                <w:u w:val="none"/>
                <w:lang w:val="en-US" w:eastAsia="zh-CN" w:bidi="ar"/>
              </w:rPr>
              <w:t>70</w:t>
            </w:r>
          </w:p>
        </w:tc>
        <w:tc>
          <w:tcPr>
            <w:tcW w:w="5524" w:type="dxa"/>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高职院校《幼儿园教育环境创设与玩教具制作》课程“理实一体化”教学模式研究</w:t>
            </w:r>
          </w:p>
        </w:tc>
        <w:tc>
          <w:tcPr>
            <w:tcW w:w="1925" w:type="dxa"/>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民族文汇</w:t>
            </w:r>
          </w:p>
        </w:tc>
        <w:tc>
          <w:tcPr>
            <w:tcW w:w="1065" w:type="dxa"/>
            <w:shd w:val="clear" w:color="auto" w:fill="auto"/>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李小琴</w:t>
            </w:r>
          </w:p>
        </w:tc>
      </w:tr>
    </w:tbl>
    <w:p>
      <w:pPr>
        <w:pStyle w:val="30"/>
        <w:bidi w:val="0"/>
        <w:jc w:val="center"/>
        <w:rPr>
          <w:rFonts w:hint="eastAsia"/>
          <w:lang w:val="en-US" w:eastAsia="zh-CN"/>
        </w:rPr>
      </w:pPr>
    </w:p>
    <w:p>
      <w:pPr>
        <w:pStyle w:val="30"/>
        <w:bidi w:val="0"/>
        <w:jc w:val="center"/>
        <w:rPr>
          <w:rFonts w:hint="eastAsia"/>
          <w:lang w:val="en-US" w:eastAsia="zh-CN"/>
        </w:rPr>
      </w:pPr>
    </w:p>
    <w:p>
      <w:pPr>
        <w:pStyle w:val="30"/>
        <w:bidi w:val="0"/>
        <w:jc w:val="center"/>
        <w:rPr>
          <w:rFonts w:hint="eastAsia"/>
          <w:lang w:val="en-US" w:eastAsia="zh-CN"/>
        </w:rPr>
      </w:pPr>
      <w:r>
        <w:rPr>
          <w:rFonts w:hint="eastAsia"/>
          <w:lang w:val="en-US" w:eastAsia="zh-CN"/>
        </w:rPr>
        <w:t>表5  教师获批省、市级课题立项一览表</w:t>
      </w:r>
      <w:bookmarkEnd w:id="19"/>
    </w:p>
    <w:tbl>
      <w:tblPr>
        <w:tblStyle w:val="12"/>
        <w:tblW w:w="89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5216"/>
        <w:gridCol w:w="1807"/>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7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序号</w:t>
            </w:r>
          </w:p>
        </w:tc>
        <w:tc>
          <w:tcPr>
            <w:tcW w:w="521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课题名称</w:t>
            </w:r>
          </w:p>
        </w:tc>
        <w:tc>
          <w:tcPr>
            <w:tcW w:w="18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课题来源</w:t>
            </w:r>
          </w:p>
        </w:tc>
        <w:tc>
          <w:tcPr>
            <w:tcW w:w="123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产教融合背景下高职院校校本教材开发研究——以学前教育专业美术课程为例</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雷佳欣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学前教育专业“教、保、创”三向驱动人才培养模式的实践与应用研究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王启念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基于建筑施工岗位集群下新时代建筑产业工人“五岗四阶三能”专业群课程体系的创新与实践</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张柳金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新时代“三农”人才队伍建设背景下，高职涉农学历教育与职业培训互融的模块化课程体系构建与应用实践</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周平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校企大师工作室下的酒店订单班“四岗五融”育人路径创新实践</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冯俊学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6</w:t>
            </w:r>
          </w:p>
        </w:tc>
        <w:tc>
          <w:tcPr>
            <w:tcW w:w="52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 xml:space="preserve">职业教育活页式新型教材建设研究-以社区教育特色课程《用药护理-家庭用药指导》为例 </w:t>
            </w:r>
          </w:p>
        </w:tc>
        <w:tc>
          <w:tcPr>
            <w:tcW w:w="180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肖顺林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“任务⇌中心⇌工岗”：现代学徒制人才培养模式构建与实践——以电子信息工程技术专业为例</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钱康亮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地方优秀传统文化融入高职院校思政教学的路径研究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刘叶勇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积极社会心态视角下高职学生就业心态研究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张利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增强高校辅导员与学生谈心谈话的针对性和实效性研究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李松桃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高校辅导员网络话语能力与学生教育成效的相关性分析</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四川省教育厅</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老龄化社会背景下高职院校康复治疗技术专业“二向三方N证书”人才培养模式研究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四川省教育发展研究中心</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王春莲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职业专科生专升本数学教学探究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四川省职业教育与成人教育学会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李红刚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高职无体育专业院校的运动队“建-训-管”机制研究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四川省大学生体育协会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蒋剑峰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15</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高职院校音乐活动的内在价值与创新路径研究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四川省青少年文学艺术联合会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何霞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16</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“五制度、一体系”：现代学徒制人才培养高质量建设及评价研究与实践——以电子信息工程技术专业为例</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李俊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17</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民办高校新能源汽车技术专业的实践教学体系的研究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袁中言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18</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基于“岗位需求”的高校课程教学评价改革实践研究—以高职院校《路由交换技术》课程为例</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万强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19</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“坚持三抓一管，体现护理礼仪”实践案例研究 </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教育高质量发展背景下民办高职院校护理专业“双师型”教师队伍建设路径研究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唐及博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民办高职院校“岗课赛证”融通模式下的“儿童行为观察与指导”课程建设研究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赵佩玉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“三全育人”视域下民办高校思想政治教育协同机制研究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2"/>
                <w:sz w:val="24"/>
                <w:szCs w:val="24"/>
                <w:u w:val="none"/>
                <w:lang w:val="en-US" w:eastAsia="zh-CN" w:bidi="ar-SA"/>
              </w:rPr>
              <w:t>四川省民办教育协会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彭丽菲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茅山乌骨鸡种质资源调查研究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泸州市科技与人才工作局</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24</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川南地区RHDV2的流行病学调查</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泸州市科技与人才工作局</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刘杰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25</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泸州市妇女儿童公共卫生保健服务问题与对策</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泸州市科技与人才工作局</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龙燕妃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26</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乳腺癌自检方法科普动画开发</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泸州市科学技术协会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许维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27</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家庭备药建议－科普微视频开发</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泸州市科学技术协会</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28</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数字技术赋能泸州培育新消费新业态新场景路径研究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李红英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29</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弘扬伟大建党精神，铸牢红色育人基因——泸州高校铸魂育人路径研究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彭丽菲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30</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泸州市城乡儿童启蒙教师专业发展共同体建设研究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易显利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基于产业链视角的泸州市农产品冷链物流上行路径研究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李珺雅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32</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乡村振兴战略下泸州市乡村文化建设问题和对策研究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朱乔雯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33</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乡村振兴视角下乡村研学旅游及乡村旅游产品开发研究——以泸州市荔江镇为例</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陈玲珍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34</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乡村振兴背景下泸州市林下经济的模式研究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35</w:t>
            </w:r>
          </w:p>
        </w:tc>
        <w:tc>
          <w:tcPr>
            <w:tcW w:w="52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大健康理念下医务社会工作发展与对策研究</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泸州市社科联</w:t>
            </w:r>
          </w:p>
        </w:tc>
        <w:tc>
          <w:tcPr>
            <w:tcW w:w="12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陈婷</w:t>
            </w:r>
          </w:p>
        </w:tc>
      </w:tr>
    </w:tbl>
    <w:p>
      <w:pPr>
        <w:pStyle w:val="30"/>
        <w:bidi w:val="0"/>
        <w:rPr>
          <w:rFonts w:hint="eastAsia"/>
          <w:lang w:val="en-US" w:eastAsia="zh-CN"/>
        </w:rPr>
      </w:pPr>
      <w:bookmarkStart w:id="20" w:name="_Toc17190"/>
    </w:p>
    <w:p>
      <w:pPr>
        <w:pStyle w:val="30"/>
        <w:bidi w:val="0"/>
        <w:rPr>
          <w:rFonts w:hint="eastAsia"/>
          <w:lang w:val="en-US" w:eastAsia="zh-CN"/>
        </w:rPr>
      </w:pPr>
    </w:p>
    <w:p>
      <w:pPr>
        <w:pStyle w:val="30"/>
        <w:bidi w:val="0"/>
        <w:rPr>
          <w:rFonts w:hint="eastAsia"/>
          <w:lang w:val="en-US" w:eastAsia="zh-CN"/>
        </w:rPr>
      </w:pPr>
    </w:p>
    <w:p>
      <w:pPr>
        <w:pStyle w:val="30"/>
        <w:bidi w:val="0"/>
        <w:rPr>
          <w:rFonts w:hint="eastAsia"/>
          <w:lang w:val="en-US" w:eastAsia="zh-CN"/>
        </w:rPr>
      </w:pPr>
      <w:r>
        <w:rPr>
          <w:rFonts w:hint="eastAsia"/>
          <w:lang w:val="en-US" w:eastAsia="zh-CN"/>
        </w:rPr>
        <w:t>表6  教师获专利授权（含软著）一览表</w:t>
      </w:r>
      <w:bookmarkEnd w:id="20"/>
    </w:p>
    <w:tbl>
      <w:tblPr>
        <w:tblStyle w:val="12"/>
        <w:tblW w:w="9158" w:type="dxa"/>
        <w:jc w:val="center"/>
        <w:shd w:val="clear" w:color="auto" w:fill="auto"/>
        <w:tblLayout w:type="fixed"/>
        <w:tblCellMar>
          <w:top w:w="0" w:type="dxa"/>
          <w:left w:w="0" w:type="dxa"/>
          <w:bottom w:w="0" w:type="dxa"/>
          <w:right w:w="0" w:type="dxa"/>
        </w:tblCellMar>
      </w:tblPr>
      <w:tblGrid>
        <w:gridCol w:w="690"/>
        <w:gridCol w:w="5482"/>
        <w:gridCol w:w="2007"/>
        <w:gridCol w:w="979"/>
      </w:tblGrid>
      <w:tr>
        <w:tblPrEx>
          <w:shd w:val="clear" w:color="auto" w:fill="auto"/>
          <w:tblCellMar>
            <w:top w:w="0" w:type="dxa"/>
            <w:left w:w="0" w:type="dxa"/>
            <w:bottom w:w="0" w:type="dxa"/>
            <w:right w:w="0" w:type="dxa"/>
          </w:tblCellMar>
        </w:tblPrEx>
        <w:trPr>
          <w:trHeight w:val="567"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序号</w:t>
            </w:r>
          </w:p>
        </w:tc>
        <w:tc>
          <w:tcPr>
            <w:tcW w:w="548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专利名称</w:t>
            </w:r>
          </w:p>
        </w:tc>
        <w:tc>
          <w:tcPr>
            <w:tcW w:w="20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类型</w:t>
            </w:r>
          </w:p>
        </w:tc>
        <w:tc>
          <w:tcPr>
            <w:tcW w:w="97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发明人</w:t>
            </w:r>
          </w:p>
        </w:tc>
      </w:tr>
      <w:tr>
        <w:tblPrEx>
          <w:shd w:val="clear" w:color="auto" w:fill="auto"/>
          <w:tblCellMar>
            <w:top w:w="0" w:type="dxa"/>
            <w:left w:w="0" w:type="dxa"/>
            <w:bottom w:w="0" w:type="dxa"/>
            <w:right w:w="0" w:type="dxa"/>
          </w:tblCellMar>
        </w:tblPrEx>
        <w:trPr>
          <w:trHeight w:val="56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1</w:t>
            </w:r>
          </w:p>
        </w:tc>
        <w:tc>
          <w:tcPr>
            <w:tcW w:w="54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一种生物制药用原材料粉碎装置</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实用新型</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王康</w:t>
            </w:r>
          </w:p>
        </w:tc>
      </w:tr>
      <w:tr>
        <w:tblPrEx>
          <w:tblCellMar>
            <w:top w:w="0" w:type="dxa"/>
            <w:left w:w="0" w:type="dxa"/>
            <w:bottom w:w="0" w:type="dxa"/>
            <w:right w:w="0" w:type="dxa"/>
          </w:tblCellMar>
        </w:tblPrEx>
        <w:trPr>
          <w:trHeight w:val="56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w:t>
            </w:r>
          </w:p>
        </w:tc>
        <w:tc>
          <w:tcPr>
            <w:tcW w:w="54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一种无人机用的变量喷雾装置</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实用新型</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周平等</w:t>
            </w:r>
          </w:p>
        </w:tc>
      </w:tr>
      <w:tr>
        <w:tblPrEx>
          <w:tblCellMar>
            <w:top w:w="0" w:type="dxa"/>
            <w:left w:w="0" w:type="dxa"/>
            <w:bottom w:w="0" w:type="dxa"/>
            <w:right w:w="0" w:type="dxa"/>
          </w:tblCellMar>
        </w:tblPrEx>
        <w:trPr>
          <w:trHeight w:val="56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3</w:t>
            </w:r>
          </w:p>
        </w:tc>
        <w:tc>
          <w:tcPr>
            <w:tcW w:w="548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输液固定器</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外观设计</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朱波</w:t>
            </w:r>
          </w:p>
        </w:tc>
      </w:tr>
      <w:tr>
        <w:tblPrEx>
          <w:shd w:val="clear" w:color="auto" w:fill="auto"/>
          <w:tblCellMar>
            <w:top w:w="0" w:type="dxa"/>
            <w:left w:w="0" w:type="dxa"/>
            <w:bottom w:w="0" w:type="dxa"/>
            <w:right w:w="0" w:type="dxa"/>
          </w:tblCellMar>
        </w:tblPrEx>
        <w:trPr>
          <w:trHeight w:val="56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4</w:t>
            </w:r>
          </w:p>
        </w:tc>
        <w:tc>
          <w:tcPr>
            <w:tcW w:w="54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一种汽车轮毂轴承</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实用新型</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姚建凤</w:t>
            </w:r>
          </w:p>
        </w:tc>
      </w:tr>
      <w:tr>
        <w:tblPrEx>
          <w:shd w:val="clear" w:color="auto" w:fill="auto"/>
          <w:tblCellMar>
            <w:top w:w="0" w:type="dxa"/>
            <w:left w:w="0" w:type="dxa"/>
            <w:bottom w:w="0" w:type="dxa"/>
            <w:right w:w="0" w:type="dxa"/>
          </w:tblCellMar>
        </w:tblPrEx>
        <w:trPr>
          <w:trHeight w:val="56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bookmarkStart w:id="21" w:name="_Toc16034"/>
            <w:r>
              <w:rPr>
                <w:rFonts w:hint="eastAsia" w:ascii="仿宋" w:hAnsi="仿宋" w:eastAsia="仿宋" w:cs="仿宋"/>
                <w:i w:val="0"/>
                <w:color w:val="000000"/>
                <w:kern w:val="0"/>
                <w:sz w:val="24"/>
                <w:szCs w:val="24"/>
                <w:u w:val="none"/>
                <w:lang w:val="en-US" w:eastAsia="zh-CN" w:bidi="ar"/>
              </w:rPr>
              <w:t>5</w:t>
            </w:r>
          </w:p>
        </w:tc>
        <w:tc>
          <w:tcPr>
            <w:tcW w:w="54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一种工业抓取机械臂</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实用新型</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王宝成</w:t>
            </w:r>
          </w:p>
        </w:tc>
      </w:tr>
      <w:tr>
        <w:tblPrEx>
          <w:shd w:val="clear" w:color="auto" w:fill="auto"/>
          <w:tblCellMar>
            <w:top w:w="0" w:type="dxa"/>
            <w:left w:w="0" w:type="dxa"/>
            <w:bottom w:w="0" w:type="dxa"/>
            <w:right w:w="0" w:type="dxa"/>
          </w:tblCellMar>
        </w:tblPrEx>
        <w:trPr>
          <w:trHeight w:val="56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548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智慧本草综合学习系统V1.0</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计算机软著</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喻春梅</w:t>
            </w:r>
          </w:p>
        </w:tc>
      </w:tr>
    </w:tbl>
    <w:p>
      <w:pPr>
        <w:pStyle w:val="30"/>
        <w:bidi w:val="0"/>
        <w:rPr>
          <w:rFonts w:hint="eastAsia"/>
          <w:lang w:val="en-US" w:eastAsia="zh-CN"/>
        </w:rPr>
      </w:pPr>
      <w:r>
        <w:rPr>
          <w:rFonts w:hint="eastAsia"/>
          <w:lang w:val="en-US" w:eastAsia="zh-CN"/>
        </w:rPr>
        <w:t>表7  教师科研与教学成果获奖一览表</w:t>
      </w:r>
      <w:bookmarkEnd w:id="21"/>
    </w:p>
    <w:tbl>
      <w:tblPr>
        <w:tblStyle w:val="12"/>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27"/>
        <w:gridCol w:w="2281"/>
        <w:gridCol w:w="3888"/>
        <w:gridCol w:w="801"/>
        <w:gridCol w:w="900"/>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7" w:hRule="atLeast"/>
          <w:tblHeader/>
          <w:jc w:val="center"/>
        </w:trPr>
        <w:tc>
          <w:tcPr>
            <w:tcW w:w="527" w:type="dxa"/>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序号</w:t>
            </w:r>
          </w:p>
        </w:tc>
        <w:tc>
          <w:tcPr>
            <w:tcW w:w="2281" w:type="dxa"/>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项目</w:t>
            </w:r>
          </w:p>
        </w:tc>
        <w:tc>
          <w:tcPr>
            <w:tcW w:w="3888" w:type="dxa"/>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kern w:val="0"/>
                <w:sz w:val="24"/>
                <w:szCs w:val="24"/>
                <w:u w:val="none"/>
                <w:lang w:val="en-US" w:eastAsia="zh-CN" w:bidi="ar"/>
              </w:rPr>
            </w:pPr>
            <w:r>
              <w:rPr>
                <w:rFonts w:hint="eastAsia" w:ascii="仿宋" w:hAnsi="仿宋" w:eastAsia="仿宋" w:cs="仿宋"/>
                <w:b/>
                <w:i w:val="0"/>
                <w:color w:val="auto"/>
                <w:kern w:val="0"/>
                <w:sz w:val="24"/>
                <w:szCs w:val="24"/>
                <w:u w:val="none"/>
                <w:lang w:val="en-US" w:eastAsia="zh-CN" w:bidi="ar"/>
              </w:rPr>
              <w:t>成果名称</w:t>
            </w:r>
          </w:p>
        </w:tc>
        <w:tc>
          <w:tcPr>
            <w:tcW w:w="801" w:type="dxa"/>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级别</w:t>
            </w:r>
          </w:p>
        </w:tc>
        <w:tc>
          <w:tcPr>
            <w:tcW w:w="900" w:type="dxa"/>
            <w:shd w:val="clear" w:color="auto" w:fill="BEBEBE" w:themeFill="background1" w:themeFillShade="BF"/>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等次</w:t>
            </w:r>
          </w:p>
        </w:tc>
        <w:tc>
          <w:tcPr>
            <w:tcW w:w="1001" w:type="dxa"/>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获奖人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w:t>
            </w:r>
          </w:p>
        </w:tc>
        <w:tc>
          <w:tcPr>
            <w:tcW w:w="2281" w:type="dxa"/>
            <w:vMerge w:val="restart"/>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color w:val="auto"/>
                <w:kern w:val="2"/>
                <w:sz w:val="24"/>
                <w:szCs w:val="24"/>
                <w:u w:val="none"/>
                <w:lang w:val="en-US" w:eastAsia="zh-CN" w:bidi="ar-SA"/>
              </w:rPr>
              <w:t>2022年四川省民办教育优秀论文评选</w:t>
            </w: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乡村振兴战略下民办高校服务地方农民工技能培训的实践研究——以四川三河职业学院为例</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殷勇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2</w:t>
            </w:r>
          </w:p>
        </w:tc>
        <w:tc>
          <w:tcPr>
            <w:tcW w:w="2281"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sz w:val="24"/>
                <w:szCs w:val="24"/>
                <w:u w:val="none"/>
                <w:lang w:val="en-US" w:eastAsia="zh-CN"/>
              </w:rPr>
            </w:pP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 岁以下婴幼儿启蒙教育阶段教师培养的途径与方法研究</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王启念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w:t>
            </w:r>
          </w:p>
        </w:tc>
        <w:tc>
          <w:tcPr>
            <w:tcW w:w="2281"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高职校企合作现代学徒制下“三阶递进”的职业能力培养模式的探索与实践</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李俊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c>
          <w:tcPr>
            <w:tcW w:w="2281"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color w:val="auto"/>
                <w:kern w:val="2"/>
                <w:sz w:val="24"/>
                <w:szCs w:val="24"/>
                <w:u w:val="none"/>
                <w:lang w:val="en-US" w:eastAsia="zh-CN" w:bidi="ar-SA"/>
              </w:rPr>
              <w:t>2023年四川省心理学会高校心理健康教育专委会年会优秀论文评选</w:t>
            </w: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color w:val="auto"/>
                <w:kern w:val="2"/>
                <w:sz w:val="24"/>
                <w:szCs w:val="24"/>
                <w:u w:val="none"/>
                <w:lang w:val="en-US" w:eastAsia="zh-CN" w:bidi="ar-SA"/>
              </w:rPr>
              <w:t>浅谈新时代高校辅导员如何开展学生心理健康教育</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color w:val="auto"/>
                <w:kern w:val="2"/>
                <w:sz w:val="24"/>
                <w:szCs w:val="24"/>
                <w:u w:val="none"/>
                <w:lang w:val="en-US" w:eastAsia="zh-CN" w:bidi="ar-SA"/>
              </w:rPr>
              <w:t>曾淑英等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w:t>
            </w:r>
          </w:p>
        </w:tc>
        <w:tc>
          <w:tcPr>
            <w:tcW w:w="2281" w:type="dxa"/>
            <w:vMerge w:val="restart"/>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color w:val="auto"/>
                <w:kern w:val="2"/>
                <w:sz w:val="24"/>
                <w:szCs w:val="24"/>
                <w:u w:val="none"/>
                <w:lang w:val="en-US" w:eastAsia="zh-CN" w:bidi="ar-SA"/>
              </w:rPr>
              <w:t>“职业教育助力乡村振兴”论坛论文征集</w:t>
            </w: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耦合与洐射，红色文化融入乡村振兴的路径研究-—以川南及其周边地区红色文化资源利用为例</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刘叶勇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c>
          <w:tcPr>
            <w:tcW w:w="2281"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“脱贫攻坚”精神助推乌蒙山区（川滇黔结合部）乡村善治之路研究</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黄江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7</w:t>
            </w:r>
          </w:p>
        </w:tc>
        <w:tc>
          <w:tcPr>
            <w:tcW w:w="2281"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乡村旅游文化创意研究——以绵阳市邱家庙村为例</w:t>
            </w:r>
          </w:p>
        </w:tc>
        <w:tc>
          <w:tcPr>
            <w:tcW w:w="801"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省级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李珺雅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8</w:t>
            </w:r>
          </w:p>
        </w:tc>
        <w:tc>
          <w:tcPr>
            <w:tcW w:w="2281" w:type="dxa"/>
            <w:vMerge w:val="restart"/>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合江县第二次社会科学优秀成果</w:t>
            </w: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乡村振兴战略背景下新农教育实施途径的研究与实践——以泸州市合江县为例</w:t>
            </w:r>
          </w:p>
        </w:tc>
        <w:tc>
          <w:tcPr>
            <w:tcW w:w="801"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县级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黄玉斌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9</w:t>
            </w:r>
          </w:p>
        </w:tc>
        <w:tc>
          <w:tcPr>
            <w:tcW w:w="2281"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泸州平安乡村建设中非法宗教、邪教现状调查研究报告</w:t>
            </w:r>
          </w:p>
        </w:tc>
        <w:tc>
          <w:tcPr>
            <w:tcW w:w="801"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县级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三等奖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黄江等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7" w:type="dxa"/>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10</w:t>
            </w:r>
          </w:p>
        </w:tc>
        <w:tc>
          <w:tcPr>
            <w:tcW w:w="2281"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2"/>
                <w:sz w:val="24"/>
                <w:szCs w:val="24"/>
                <w:u w:val="none"/>
                <w:lang w:val="en-US" w:eastAsia="zh-CN" w:bidi="ar-SA"/>
              </w:rPr>
            </w:pPr>
          </w:p>
        </w:tc>
        <w:tc>
          <w:tcPr>
            <w:tcW w:w="3888"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乡村振兴战略下美丽乡村建设路径的研究——以川南地区为例</w:t>
            </w:r>
          </w:p>
        </w:tc>
        <w:tc>
          <w:tcPr>
            <w:tcW w:w="801"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县级</w:t>
            </w:r>
          </w:p>
        </w:tc>
        <w:tc>
          <w:tcPr>
            <w:tcW w:w="900" w:type="dxa"/>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优秀奖</w:t>
            </w:r>
          </w:p>
        </w:tc>
        <w:tc>
          <w:tcPr>
            <w:tcW w:w="1001"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李红英</w:t>
            </w:r>
          </w:p>
        </w:tc>
      </w:tr>
    </w:tbl>
    <w:p>
      <w:pPr>
        <w:pStyle w:val="32"/>
        <w:bidi w:val="0"/>
        <w:jc w:val="left"/>
        <w:rPr>
          <w:rFonts w:hint="eastAsia"/>
          <w:lang w:val="en-US" w:eastAsia="zh-CN"/>
        </w:rPr>
      </w:pPr>
      <w:r>
        <w:rPr>
          <w:rFonts w:hint="eastAsia"/>
          <w:lang w:val="en-US" w:eastAsia="zh-CN"/>
        </w:rPr>
        <w:t>典型案例2：</w:t>
      </w:r>
      <w:bookmarkEnd w:id="18"/>
    </w:p>
    <w:p>
      <w:pPr>
        <w:pStyle w:val="32"/>
        <w:bidi w:val="0"/>
        <w:jc w:val="center"/>
        <w:rPr>
          <w:rFonts w:hint="eastAsia"/>
          <w:lang w:val="en-US" w:eastAsia="zh-CN"/>
        </w:rPr>
      </w:pPr>
      <w:bookmarkStart w:id="22" w:name="_Toc11786"/>
      <w:r>
        <w:rPr>
          <w:rFonts w:hint="eastAsia"/>
          <w:lang w:val="en-US" w:eastAsia="zh-CN"/>
        </w:rPr>
        <w:t>用外国语言讲好中国故事  勇夺外语课程思政教学比赛大奖</w:t>
      </w:r>
      <w:bookmarkEnd w:id="22"/>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2022年12月，四川省教育厅公布了“2022年四川省职业院校外语课程思政教学比赛”获奖名单，我校英语教学团队凭借立意新颖且结构合理的课程设计和紧凑而有深度的教学实施脱颖而出，荣获省级高职组一等奖，实现了外语课程思政教学比赛新突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获奖教学团队以“用外语讲好中国故事”为教学目标，充分运用“TBL”教学模式，即任务型教学、混合式教学和以学生为主体三合一的多元手段实施教学。在课前以单元板块为单位精心收集整理关于社会主义核心价值观、中华优秀传统文化等元素，力求润物细无声的融入教学知识点、案例、情境等。同时，创新外语课程思政教学新思路，充分融合校本范例，以学校提出的“课以载情、课以载业、课以载道”为指导思想不断深入挖掘思政元素，使外语教学比赛能多角度、深层次地将思想政治教育融入外语教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参赛教学团队根据学校办学理念和人才培养目标，坚持以“学生为主体，教师为主导”的指导思想，进一步探索课程思政，促进教师更积极主动地深耕教材、研究教学、聚焦课堂、创新办法、奋力培养服务地方经济社会发展的合格建设者和接班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drawing>
          <wp:inline distT="0" distB="0" distL="114300" distR="114300">
            <wp:extent cx="2320290" cy="2954020"/>
            <wp:effectExtent l="0" t="0" r="3810" b="17780"/>
            <wp:docPr id="22" name="图片 2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55"/>
                    <pic:cNvPicPr>
                      <a:picLocks noChangeAspect="1"/>
                    </pic:cNvPicPr>
                  </pic:nvPicPr>
                  <pic:blipFill>
                    <a:blip r:embed="rId16"/>
                    <a:stretch>
                      <a:fillRect/>
                    </a:stretch>
                  </pic:blipFill>
                  <pic:spPr>
                    <a:xfrm>
                      <a:off x="0" y="0"/>
                      <a:ext cx="2320290" cy="2954020"/>
                    </a:xfrm>
                    <a:prstGeom prst="rect">
                      <a:avLst/>
                    </a:prstGeom>
                  </pic:spPr>
                </pic:pic>
              </a:graphicData>
            </a:graphic>
          </wp:inline>
        </w:drawing>
      </w:r>
    </w:p>
    <w:p>
      <w:pPr>
        <w:pStyle w:val="31"/>
        <w:bidi w:val="0"/>
        <w:rPr>
          <w:rFonts w:hint="eastAsia"/>
          <w:lang w:val="en-US" w:eastAsia="zh-CN"/>
        </w:rPr>
      </w:pPr>
      <w:bookmarkStart w:id="23" w:name="_Toc15588"/>
      <w:r>
        <w:rPr>
          <w:rFonts w:hint="eastAsia"/>
          <w:lang w:val="en-US" w:eastAsia="zh-CN"/>
        </w:rPr>
        <w:t>图4  学校英语教学团队荣获外语课程思政教学比赛一等奖</w:t>
      </w:r>
      <w:bookmarkEnd w:id="23"/>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24" w:name="_Toc24848"/>
      <w:r>
        <w:rPr>
          <w:rFonts w:hint="eastAsia" w:ascii="仿宋" w:hAnsi="仿宋" w:eastAsia="仿宋" w:cs="仿宋"/>
          <w:b/>
          <w:bCs/>
          <w:color w:val="auto"/>
          <w:sz w:val="32"/>
          <w:szCs w:val="32"/>
          <w:lang w:val="en-US" w:eastAsia="zh-CN"/>
        </w:rPr>
        <w:t>（四）质量保障</w:t>
      </w:r>
      <w:bookmarkEnd w:id="24"/>
    </w:p>
    <w:p>
      <w:pPr>
        <w:spacing w:line="240" w:lineRule="auto"/>
        <w:ind w:firstLine="640" w:firstLineChars="2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学校构建了内部质量保证体系，近年来持续、深入开展诊改，2020年底，在四川省同类院校中率先接受诊改复核。2021年以来，四川长江职业学院等5所兄弟院校先后到校考察、交流和学习诊改工作，我校的诊改工作开始发挥示范作用；四川电子机械职业技术学院、天府新区信息职业学院等3所院校将我校列为对标竞进对标单位。本年度，学校主要围绕下述方面开展诊改工作：</w:t>
      </w:r>
    </w:p>
    <w:p>
      <w:pPr>
        <w:spacing w:line="240" w:lineRule="auto"/>
        <w:ind w:firstLine="640" w:firstLineChars="2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一是五大层面持续、深入实施诊改。2023年，学校的“十四五”规划目标和年度党政工作要点监测、预警到位，改进有力，年度完成情况良好；全校共31个专业、860门课程、463名教师、全</w:t>
      </w:r>
      <w:bookmarkStart w:id="134" w:name="_GoBack"/>
      <w:bookmarkEnd w:id="134"/>
      <w:r>
        <w:rPr>
          <w:rFonts w:hint="eastAsia" w:ascii="仿宋" w:hAnsi="仿宋" w:eastAsia="仿宋" w:cs="仿宋"/>
          <w:b w:val="0"/>
          <w:bCs w:val="0"/>
          <w:color w:val="auto"/>
          <w:sz w:val="32"/>
          <w:szCs w:val="32"/>
          <w:lang w:val="en-US" w:eastAsia="zh-CN"/>
        </w:rPr>
        <w:t>体学生持续、深入实施诊改，取得了良好成效；举办了第二届说诊改比赛，说诊改活动成为常态，教师说诊改，辅导员和学生也说诊改，“全员参与、人人向好”的质量文化进一步深入人心。</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二是进一步加强了平台建设。学校升级了教务系统，购置了学工系统，两个系统功能更加丰富，应用更加便捷，对接了质量管理平台，扩大了质量管理平台自动采集数据的范围和指标，进一步增强了诊改数据的客观性。</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三是根据《四川省教育厅关于开展2023年度高等职业学校教学工作诊断与改进的通知》，学校主动、积极向省教育厅上报复核改进自查报告，迎接诊改复核回访。</w:t>
      </w:r>
    </w:p>
    <w:p>
      <w:pPr>
        <w:pStyle w:val="32"/>
        <w:bidi w:val="0"/>
        <w:jc w:val="left"/>
        <w:rPr>
          <w:rFonts w:hint="eastAsia"/>
          <w:lang w:val="en-US" w:eastAsia="zh-CN"/>
        </w:rPr>
      </w:pPr>
      <w:bookmarkStart w:id="25" w:name="_Toc8367"/>
      <w:r>
        <w:rPr>
          <w:rFonts w:hint="eastAsia"/>
          <w:lang w:val="en-US" w:eastAsia="zh-CN"/>
        </w:rPr>
        <w:t>典型案例3：</w:t>
      </w:r>
      <w:bookmarkEnd w:id="25"/>
    </w:p>
    <w:p>
      <w:pPr>
        <w:pStyle w:val="32"/>
        <w:bidi w:val="0"/>
        <w:jc w:val="center"/>
        <w:rPr>
          <w:rFonts w:hint="eastAsia"/>
          <w:lang w:val="en-US" w:eastAsia="zh-CN"/>
        </w:rPr>
      </w:pPr>
      <w:bookmarkStart w:id="26" w:name="_Toc2307"/>
      <w:r>
        <w:rPr>
          <w:rFonts w:hint="eastAsia"/>
          <w:lang w:val="en-US" w:eastAsia="zh-CN"/>
        </w:rPr>
        <w:t>学校常态化举办年度说诊改比赛</w:t>
      </w:r>
      <w:bookmarkEnd w:id="26"/>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为持续深入开展教学工作诊断与改进，营造浓厚的“全员投入，人人向好”质量文化氛围，提升学校建设发展水平和人才培养质量，学校制定方案、组织动员、分步推进，历时一个多月，于2023年7月13日圆满完成本年度说诊改比赛各个环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本次说诊改比赛，全校教师、31名专业负责人、99名辅导员、12个职能部门人员参加了相应赛项，做到了全员参与。比赛分初赛、决赛和展示三个环节：7月5日前，各单位按照方案自行开展初赛，并按比例向学校推荐参加决赛的教师；7月9日前，学校以分组形式，分赛项开展决赛，并评定出各赛项奖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为总结和展示学校各序列诊改工作成效，发挥示范、带动作用，7月13日，学校以全校大教研活动的形式在学术报告厅开展了说诊改展示活动，一等奖获得者上台分享诊改工作。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i w:val="0"/>
          <w:iCs w:val="0"/>
          <w:caps w:val="0"/>
          <w:color w:val="auto"/>
          <w:spacing w:val="0"/>
          <w:sz w:val="24"/>
          <w:szCs w:val="24"/>
          <w:lang w:val="en-US" w:eastAsia="zh-CN"/>
        </w:rPr>
      </w:pPr>
      <w:r>
        <w:rPr>
          <w:rFonts w:hint="eastAsia" w:ascii="仿宋" w:hAnsi="仿宋" w:eastAsia="仿宋" w:cs="仿宋"/>
          <w:i w:val="0"/>
          <w:iCs w:val="0"/>
          <w:caps w:val="0"/>
          <w:color w:val="auto"/>
          <w:spacing w:val="0"/>
          <w:sz w:val="24"/>
          <w:szCs w:val="24"/>
          <w:lang w:val="en-US" w:eastAsia="zh-CN"/>
        </w:rPr>
        <w:drawing>
          <wp:inline distT="0" distB="0" distL="114300" distR="114300">
            <wp:extent cx="4485640" cy="2956560"/>
            <wp:effectExtent l="0" t="0" r="10160" b="15240"/>
            <wp:docPr id="12" name="图片 1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1"/>
                    <pic:cNvPicPr>
                      <a:picLocks noChangeAspect="1"/>
                    </pic:cNvPicPr>
                  </pic:nvPicPr>
                  <pic:blipFill>
                    <a:blip r:embed="rId17"/>
                    <a:stretch>
                      <a:fillRect/>
                    </a:stretch>
                  </pic:blipFill>
                  <pic:spPr>
                    <a:xfrm>
                      <a:off x="0" y="0"/>
                      <a:ext cx="4485640" cy="2956560"/>
                    </a:xfrm>
                    <a:prstGeom prst="rect">
                      <a:avLst/>
                    </a:prstGeom>
                  </pic:spPr>
                </pic:pic>
              </a:graphicData>
            </a:graphic>
          </wp:inline>
        </w:drawing>
      </w:r>
    </w:p>
    <w:p>
      <w:pPr>
        <w:pStyle w:val="31"/>
        <w:bidi w:val="0"/>
        <w:rPr>
          <w:rFonts w:hint="eastAsia"/>
          <w:lang w:val="en-US" w:eastAsia="zh-CN"/>
        </w:rPr>
      </w:pPr>
      <w:bookmarkStart w:id="27" w:name="_Toc8261"/>
      <w:r>
        <w:rPr>
          <w:rFonts w:hint="eastAsia"/>
          <w:lang w:val="en-US" w:eastAsia="zh-CN"/>
        </w:rPr>
        <w:t>图5  学校持续深入开展诊改，常态化举办年度说诊改比赛</w:t>
      </w:r>
      <w:bookmarkEnd w:id="27"/>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val="en-US" w:eastAsia="zh-CN"/>
        </w:rPr>
      </w:pPr>
      <w:bookmarkStart w:id="28" w:name="_Toc32602"/>
      <w:r>
        <w:rPr>
          <w:rFonts w:hint="eastAsia" w:ascii="仿宋" w:hAnsi="仿宋" w:eastAsia="仿宋" w:cs="仿宋"/>
          <w:b/>
          <w:bCs/>
          <w:color w:val="auto"/>
          <w:sz w:val="32"/>
          <w:szCs w:val="32"/>
          <w:lang w:val="en-US" w:eastAsia="zh-CN"/>
        </w:rPr>
        <w:t>三、党建与思想政治工作</w:t>
      </w:r>
      <w:bookmarkEnd w:id="28"/>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default" w:ascii="仿宋" w:hAnsi="仿宋" w:eastAsia="仿宋" w:cs="仿宋"/>
          <w:b/>
          <w:bCs/>
          <w:color w:val="auto"/>
          <w:sz w:val="32"/>
          <w:szCs w:val="32"/>
          <w:lang w:val="en-US" w:eastAsia="zh-CN"/>
        </w:rPr>
      </w:pPr>
      <w:bookmarkStart w:id="29" w:name="_Toc7463"/>
      <w:r>
        <w:rPr>
          <w:rFonts w:hint="eastAsia" w:ascii="仿宋" w:hAnsi="仿宋" w:eastAsia="仿宋" w:cs="仿宋"/>
          <w:b/>
          <w:bCs/>
          <w:color w:val="auto"/>
          <w:sz w:val="32"/>
          <w:szCs w:val="32"/>
          <w:lang w:val="en-US" w:eastAsia="zh-CN"/>
        </w:rPr>
        <w:t>（一）坚持党建引领，加强思想政治建设</w:t>
      </w:r>
      <w:bookmarkEnd w:id="29"/>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全面落实党的教育方针，认真学习贯彻党的二十大精神、中央全会精神、省委全会精神和上级决策部署，深化学校“四个坚持”办学指导思想，深入开展学习贯彻习近平新时代中国特色社会主义思想主题教育，落实“第一议题”制度，以党委中心组理论学习、党支部学习带动教职工理论学习、团员青年学习和学生班级思想教育，深化对习近平新时代中国特色社会主义思想的政治认同、思想认同、情感认同，深刻领悟“两个确立”的决定性意义，不断增强“四个意识”、坚定“四个自信”、做到“两个维护”，抓牢意识形态工作和思想政治教育，时刻与党中央保持高度一致。</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30" w:name="_Toc29875"/>
      <w:r>
        <w:rPr>
          <w:rFonts w:hint="eastAsia" w:ascii="仿宋" w:hAnsi="仿宋" w:eastAsia="仿宋" w:cs="仿宋"/>
          <w:b/>
          <w:bCs/>
          <w:color w:val="auto"/>
          <w:sz w:val="32"/>
          <w:szCs w:val="32"/>
          <w:lang w:val="en-US" w:eastAsia="zh-CN"/>
        </w:rPr>
        <w:t>（二）深化主题教育，促进重点工作落实</w:t>
      </w:r>
      <w:bookmarkEnd w:id="30"/>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坚持把学习贯彻习近平新时代中国特色社会主义思想主题教育作为一项重要政治任务抓牢抓实，提高思想认识和政治站位，围绕“学思想 强党性 重实践 建新功”总要求，坚持主题主线不偏移，读原著学原文悟原理，学思用贯通，知信行统一，把主题教育与学习贯彻习近平总书记来川视察重要指示精神和最新重要讲话精神结合起来、与学院教育教学工作实际结合起来，抓好理论学习、干事创业、检视整改重点措施，积极开展为师生群众办实事志愿服务，向先进典型学习，立足岗位做贡献，把主题教育激发的工作热情和奋斗精神，转化为攻坚克难、干事创业实际成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drawing>
          <wp:inline distT="0" distB="0" distL="114300" distR="114300">
            <wp:extent cx="4243070" cy="2829560"/>
            <wp:effectExtent l="0" t="0" r="5080" b="8890"/>
            <wp:docPr id="42" name="图片 42" descr="主题教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主题教育1"/>
                    <pic:cNvPicPr>
                      <a:picLocks noChangeAspect="1"/>
                    </pic:cNvPicPr>
                  </pic:nvPicPr>
                  <pic:blipFill>
                    <a:blip r:embed="rId18"/>
                    <a:stretch>
                      <a:fillRect/>
                    </a:stretch>
                  </pic:blipFill>
                  <pic:spPr>
                    <a:xfrm>
                      <a:off x="0" y="0"/>
                      <a:ext cx="4243070" cy="2829560"/>
                    </a:xfrm>
                    <a:prstGeom prst="rect">
                      <a:avLst/>
                    </a:prstGeom>
                  </pic:spPr>
                </pic:pic>
              </a:graphicData>
            </a:graphic>
          </wp:inline>
        </w:drawing>
      </w:r>
    </w:p>
    <w:p>
      <w:pPr>
        <w:pStyle w:val="31"/>
        <w:bidi w:val="0"/>
        <w:rPr>
          <w:rFonts w:hint="eastAsia"/>
          <w:lang w:val="en-US" w:eastAsia="zh-CN"/>
        </w:rPr>
      </w:pPr>
      <w:bookmarkStart w:id="31" w:name="_Toc26326"/>
      <w:r>
        <w:rPr>
          <w:rFonts w:hint="eastAsia"/>
          <w:lang w:val="en-US" w:eastAsia="zh-CN"/>
        </w:rPr>
        <w:t>图6  省委教育工委主题教育第二联络组到校列席中心组会议</w:t>
      </w:r>
      <w:bookmarkEnd w:id="31"/>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32" w:name="_Toc19048"/>
      <w:r>
        <w:rPr>
          <w:rFonts w:hint="eastAsia" w:ascii="仿宋" w:hAnsi="仿宋" w:eastAsia="仿宋" w:cs="仿宋"/>
          <w:b/>
          <w:bCs/>
          <w:color w:val="auto"/>
          <w:sz w:val="32"/>
          <w:szCs w:val="32"/>
          <w:lang w:val="en-US" w:eastAsia="zh-CN"/>
        </w:rPr>
        <w:t>（三）聚焦支部质量，组织功能明显增强</w:t>
      </w:r>
      <w:bookmarkEnd w:id="32"/>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党委认真履行管党治党主体责任，聚焦支部质量建设，结合学院年度党政工作要点制定党建工作重点任务，增补配齐支部委员会委员5名，落实支部“三会一课”、主题党日和组织生活，印发《二级学院党总支部委员会会议议事规则》《二级学院党政联席会议议事规则》等制度。落实干部“一岗双责”，定期召开思想形势分析会、网络意识形态专题会等，严格宣传信息发布审批，加强网络信息安全和舆情监管，抓好重大活动、重要会议和敏感时段安全稳定工作，思想教育持续加强。2023年9月，学校与四川化工职业技术学院党建结对共建，以党组织“1+2+2”模式深化合作，支部组织功能明显加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drawing>
          <wp:inline distT="0" distB="0" distL="114300" distR="114300">
            <wp:extent cx="4156075" cy="2924810"/>
            <wp:effectExtent l="0" t="0" r="9525" b="8890"/>
            <wp:docPr id="43" name="图片 43" descr="结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结对"/>
                    <pic:cNvPicPr>
                      <a:picLocks noChangeAspect="1"/>
                    </pic:cNvPicPr>
                  </pic:nvPicPr>
                  <pic:blipFill>
                    <a:blip r:embed="rId19"/>
                    <a:stretch>
                      <a:fillRect/>
                    </a:stretch>
                  </pic:blipFill>
                  <pic:spPr>
                    <a:xfrm>
                      <a:off x="0" y="0"/>
                      <a:ext cx="4156075" cy="2924810"/>
                    </a:xfrm>
                    <a:prstGeom prst="rect">
                      <a:avLst/>
                    </a:prstGeom>
                  </pic:spPr>
                </pic:pic>
              </a:graphicData>
            </a:graphic>
          </wp:inline>
        </w:drawing>
      </w:r>
    </w:p>
    <w:p>
      <w:pPr>
        <w:pStyle w:val="31"/>
        <w:bidi w:val="0"/>
        <w:rPr>
          <w:rFonts w:hint="eastAsia"/>
          <w:lang w:val="en-US" w:eastAsia="zh-CN"/>
        </w:rPr>
      </w:pPr>
      <w:bookmarkStart w:id="33" w:name="_Toc13691"/>
      <w:r>
        <w:rPr>
          <w:rFonts w:hint="eastAsia"/>
          <w:lang w:val="en-US" w:eastAsia="zh-CN"/>
        </w:rPr>
        <w:t>图7  学校党委与四川化院党委开展党建结对</w:t>
      </w:r>
      <w:bookmarkEnd w:id="33"/>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34" w:name="_Toc9899"/>
      <w:r>
        <w:rPr>
          <w:rFonts w:hint="eastAsia" w:ascii="仿宋" w:hAnsi="仿宋" w:eastAsia="仿宋" w:cs="仿宋"/>
          <w:b/>
          <w:bCs/>
          <w:color w:val="auto"/>
          <w:sz w:val="32"/>
          <w:szCs w:val="32"/>
          <w:lang w:val="en-US" w:eastAsia="zh-CN"/>
        </w:rPr>
        <w:t>（四）加强队伍建设，能力素质得到提升</w:t>
      </w:r>
      <w:bookmarkEnd w:id="34"/>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学校鼓励青年教职工和学生积极向党组织靠拢，业余党校培训入党积极分子1575人、预备党员和发展对象培训482人次，发展党员159人，干部和党务人员线上线下专题培训160余人次。举办2023年青年干部培训班，40名优秀青年教职工参加学习培训，能力素质得到全面提升。加强“两支队伍”建设，新聘思政课教师、辅导员24人，每学期分别组织新任教师、辅导员岗前培训，思政课教师集体备课线上培训等全覆盖，采取以会代培方式，提升任课教师、辅导员教学水平和管理能力，学生对学校思想政治工作满意度高达98.04%，对思政课满意度高达96.94%，对辅导员工作满意度高达94.67%。</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35" w:name="_Toc25196"/>
      <w:r>
        <w:rPr>
          <w:rFonts w:hint="eastAsia" w:ascii="仿宋" w:hAnsi="仿宋" w:eastAsia="仿宋" w:cs="仿宋"/>
          <w:b/>
          <w:bCs/>
          <w:color w:val="auto"/>
          <w:sz w:val="32"/>
          <w:szCs w:val="32"/>
          <w:lang w:val="en-US" w:eastAsia="zh-CN"/>
        </w:rPr>
        <w:t>（五）积极创先争优，各项工作取得成效</w:t>
      </w:r>
      <w:bookmarkEnd w:id="35"/>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强化思政育人功能，培育校级课程思政示范团队、专业、课程共计13项，申报省级思政课专项课题2项，外语教研室参赛团队荣获四川省职业院校外语课程思政教学比赛一等奖。推行“四课联动、双核共融”育人模式，课堂内外、学校内外一二三四课堂联动，立德树人。师生参与各级各类竞赛获奖168项、415人次，其中教师代表参赛获奖58项、89人次，累计获得省级一等奖10项、二等奖39项、三等奖56项。师生齐心协力推进民族团结进步、文明校园创建等工作，全省“高校统战助发展推进会”参会领导到校参观考察，工作特色和成效得到各级领导的肯定和好评。</w:t>
      </w:r>
    </w:p>
    <w:p>
      <w:pPr>
        <w:pStyle w:val="32"/>
        <w:bidi w:val="0"/>
        <w:jc w:val="left"/>
        <w:rPr>
          <w:rFonts w:hint="eastAsia"/>
          <w:lang w:val="en-US" w:eastAsia="zh-CN"/>
        </w:rPr>
      </w:pPr>
      <w:bookmarkStart w:id="36" w:name="_Toc1965"/>
      <w:r>
        <w:rPr>
          <w:rFonts w:hint="eastAsia"/>
          <w:lang w:val="en-US" w:eastAsia="zh-CN"/>
        </w:rPr>
        <w:t>典型案例4：</w:t>
      </w:r>
      <w:bookmarkEnd w:id="36"/>
    </w:p>
    <w:p>
      <w:pPr>
        <w:pStyle w:val="32"/>
        <w:bidi w:val="0"/>
        <w:jc w:val="center"/>
        <w:rPr>
          <w:rFonts w:hint="eastAsia"/>
          <w:lang w:val="en-US" w:eastAsia="zh-CN"/>
        </w:rPr>
      </w:pPr>
      <w:bookmarkStart w:id="37" w:name="_Toc15213"/>
      <w:r>
        <w:rPr>
          <w:rFonts w:hint="eastAsia"/>
          <w:lang w:val="en-US" w:eastAsia="zh-CN"/>
        </w:rPr>
        <w:t>学校在四川省高校宣传部长培训会暨“三全育人”推进会上</w:t>
      </w:r>
      <w:bookmarkEnd w:id="37"/>
    </w:p>
    <w:p>
      <w:pPr>
        <w:pStyle w:val="32"/>
        <w:bidi w:val="0"/>
        <w:jc w:val="center"/>
        <w:rPr>
          <w:rFonts w:hint="eastAsia"/>
          <w:lang w:val="en-US" w:eastAsia="zh-CN"/>
        </w:rPr>
      </w:pPr>
      <w:bookmarkStart w:id="38" w:name="_Toc19682"/>
      <w:r>
        <w:rPr>
          <w:rFonts w:hint="eastAsia"/>
          <w:lang w:val="en-US" w:eastAsia="zh-CN"/>
        </w:rPr>
        <w:t>作经验交流发言</w:t>
      </w:r>
      <w:bookmarkEnd w:id="38"/>
    </w:p>
    <w:p>
      <w:pPr>
        <w:spacing w:line="240" w:lineRule="auto"/>
        <w:ind w:firstLine="560" w:firstLineChars="200"/>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2023年5月31日，四川省高校宣传部长培训会暨“三全育人”推进会，思政教育研究会教师思政教育工作分会、网络文化与网络思政分会2023年年会在雅安职业技术学院召开，四川三河职业学院党委副书记、副校长王华代表学校，就“宣传思想文化建设的探索和实</w:t>
      </w:r>
    </w:p>
    <w:p>
      <w:pPr>
        <w:spacing w:line="240" w:lineRule="auto"/>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践”，在大会上作了经验交流发言。</w:t>
      </w:r>
    </w:p>
    <w:p>
      <w:pPr>
        <w:spacing w:line="240" w:lineRule="auto"/>
        <w:ind w:firstLine="560" w:firstLineChars="200"/>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王华以《三河聚海 育人利物——四川三河职业学院宣传思想文化建设的探索和实践》为题，从高度重视，形成机制；肩负责任，牢记使命；总结凝练，形成路径三个方面作交流发言。从2015年以来，学校创新探索了宣传、思想、文化工作，党政领导高度重视，健全组织系统和教育管理工作制度。2016年，《四川三河职业学院文化建设形成办学亮点》得到中国教育报报道；2018年，学校在泸州市委举办的学校宣传思想工作会议上作了交流发言。</w:t>
      </w:r>
    </w:p>
    <w:p>
      <w:pPr>
        <w:spacing w:line="240" w:lineRule="auto"/>
        <w:ind w:firstLine="560" w:firstLineChars="200"/>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学校坚持举旗帜，思想引领；聚民心，大爱铸魂；育新人，制度先行；兴文化，培育环境；展形象，品牌塑形。通过实践和探索，在2017年凝练了学校办学体会和实践：“不管是体制内还是体制外，加强党的建设不例外；不管是教育的主干部分还是组成部分，都必须立德树人；不管是公办民办，都必须按照教育规律规范办”。</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在省教育工委和省教厅的坚强领导下，三河职院基本实现了“政府有奖、媒体有影、大赛有名、业内有声、企业有需、学有所成”的三个满意品牌学院建设目标。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560" w:firstLineChars="200"/>
        <w:jc w:val="left"/>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学校的典型做法，得到了兄弟学校的高度评价。学院将按照“党委牵头，阵地牵引，形成格局，模式贯穿”的理念，建设“三全育人典型学校”，为创建全国文明校园而不懈努力。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center"/>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color w:val="auto"/>
          <w:lang w:val="en-US" w:eastAsia="zh-CN"/>
        </w:rPr>
        <w:drawing>
          <wp:inline distT="0" distB="0" distL="114300" distR="114300">
            <wp:extent cx="2536825" cy="1918970"/>
            <wp:effectExtent l="0" t="0" r="15875" b="508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20"/>
                    <a:stretch>
                      <a:fillRect/>
                    </a:stretch>
                  </pic:blipFill>
                  <pic:spPr>
                    <a:xfrm>
                      <a:off x="0" y="0"/>
                      <a:ext cx="2536825" cy="1918970"/>
                    </a:xfrm>
                    <a:prstGeom prst="rect">
                      <a:avLst/>
                    </a:prstGeom>
                  </pic:spPr>
                </pic:pic>
              </a:graphicData>
            </a:graphic>
          </wp:inline>
        </w:drawing>
      </w:r>
      <w:r>
        <w:rPr>
          <w:rFonts w:hint="eastAsia" w:ascii="仿宋" w:hAnsi="仿宋" w:eastAsia="仿宋" w:cs="仿宋"/>
          <w:color w:val="auto"/>
          <w:sz w:val="11"/>
          <w:szCs w:val="11"/>
          <w:lang w:val="en-US" w:eastAsia="zh-CN"/>
        </w:rPr>
        <w:t xml:space="preserve"> </w:t>
      </w:r>
      <w:r>
        <w:rPr>
          <w:rFonts w:hint="eastAsia" w:ascii="仿宋" w:hAnsi="仿宋" w:eastAsia="仿宋" w:cs="仿宋"/>
          <w:b w:val="0"/>
          <w:bCs w:val="0"/>
          <w:color w:val="auto"/>
          <w:kern w:val="2"/>
          <w:sz w:val="28"/>
          <w:szCs w:val="28"/>
          <w:lang w:val="en-US" w:eastAsia="zh-CN" w:bidi="ar-SA"/>
        </w:rPr>
        <w:drawing>
          <wp:inline distT="0" distB="0" distL="114300" distR="114300">
            <wp:extent cx="2585720" cy="1910715"/>
            <wp:effectExtent l="0" t="0" r="5080" b="13335"/>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21"/>
                    <a:stretch>
                      <a:fillRect/>
                    </a:stretch>
                  </pic:blipFill>
                  <pic:spPr>
                    <a:xfrm>
                      <a:off x="0" y="0"/>
                      <a:ext cx="2585720" cy="1910715"/>
                    </a:xfrm>
                    <a:prstGeom prst="rect">
                      <a:avLst/>
                    </a:prstGeom>
                  </pic:spPr>
                </pic:pic>
              </a:graphicData>
            </a:graphic>
          </wp:inline>
        </w:drawing>
      </w:r>
    </w:p>
    <w:p>
      <w:pPr>
        <w:pStyle w:val="31"/>
        <w:bidi w:val="0"/>
        <w:rPr>
          <w:rFonts w:hint="eastAsia"/>
          <w:lang w:val="en-US" w:eastAsia="zh-CN"/>
        </w:rPr>
      </w:pPr>
      <w:bookmarkStart w:id="39" w:name="_Toc17711"/>
      <w:r>
        <w:rPr>
          <w:rFonts w:hint="eastAsia"/>
          <w:lang w:val="en-US" w:eastAsia="zh-CN"/>
        </w:rPr>
        <w:t>图8 学校党委副书记王华在四川省高校宣传部长培训会暨“三全育人”推进会上发言</w:t>
      </w:r>
      <w:bookmarkEnd w:id="39"/>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val="en-US" w:eastAsia="zh-CN"/>
        </w:rPr>
      </w:pPr>
      <w:bookmarkStart w:id="40" w:name="_Toc17279"/>
      <w:r>
        <w:rPr>
          <w:rFonts w:hint="eastAsia" w:ascii="仿宋" w:hAnsi="仿宋" w:eastAsia="仿宋" w:cs="仿宋"/>
          <w:b/>
          <w:bCs/>
          <w:color w:val="auto"/>
          <w:sz w:val="32"/>
          <w:szCs w:val="32"/>
          <w:lang w:val="en-US" w:eastAsia="zh-CN"/>
        </w:rPr>
        <w:t>四、学生发展</w:t>
      </w:r>
      <w:bookmarkEnd w:id="40"/>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41" w:name="_Toc4466"/>
      <w:r>
        <w:rPr>
          <w:rFonts w:hint="eastAsia" w:ascii="仿宋" w:hAnsi="仿宋" w:eastAsia="仿宋" w:cs="仿宋"/>
          <w:b/>
          <w:bCs/>
          <w:color w:val="auto"/>
          <w:sz w:val="32"/>
          <w:szCs w:val="32"/>
          <w:lang w:val="en-US" w:eastAsia="zh-CN"/>
        </w:rPr>
        <w:t>（一）学生服务</w:t>
      </w:r>
      <w:bookmarkEnd w:id="41"/>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42" w:name="_Toc2430"/>
      <w:r>
        <w:rPr>
          <w:rFonts w:hint="eastAsia" w:ascii="仿宋" w:hAnsi="仿宋" w:eastAsia="仿宋" w:cs="仿宋"/>
          <w:b/>
          <w:bCs/>
          <w:color w:val="auto"/>
          <w:sz w:val="32"/>
          <w:szCs w:val="32"/>
          <w:lang w:val="en-US" w:eastAsia="zh-CN"/>
        </w:rPr>
        <w:t>1.学生资助</w:t>
      </w:r>
      <w:bookmarkEnd w:id="42"/>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学校针对品学兼优和经济贫困学生，一方面按政策评定国家奖学金、国家励志奖学金和国家助学金，共发放1911.293万元；另一方面学校开展学费减免、校级奖学金、助金学等资助项目，共发放222.387万元，助力学生学习成才，详情见表8。</w:t>
      </w:r>
    </w:p>
    <w:p>
      <w:pPr>
        <w:pStyle w:val="30"/>
        <w:bidi w:val="0"/>
        <w:rPr>
          <w:rFonts w:hint="eastAsia"/>
          <w:lang w:val="en-US" w:eastAsia="zh-CN"/>
        </w:rPr>
      </w:pPr>
      <w:bookmarkStart w:id="43" w:name="_Toc15477"/>
      <w:r>
        <w:rPr>
          <w:rFonts w:hint="eastAsia"/>
          <w:lang w:val="en-US" w:eastAsia="zh-CN"/>
        </w:rPr>
        <w:t>表8  学生资助情况一览表</w:t>
      </w:r>
      <w:bookmarkEnd w:id="43"/>
    </w:p>
    <w:tbl>
      <w:tblPr>
        <w:tblStyle w:val="12"/>
        <w:tblW w:w="7797" w:type="dxa"/>
        <w:jc w:val="center"/>
        <w:shd w:val="clear" w:color="auto" w:fill="auto"/>
        <w:tblLayout w:type="fixed"/>
        <w:tblCellMar>
          <w:top w:w="0" w:type="dxa"/>
          <w:left w:w="0" w:type="dxa"/>
          <w:bottom w:w="0" w:type="dxa"/>
          <w:right w:w="0" w:type="dxa"/>
        </w:tblCellMar>
      </w:tblPr>
      <w:tblGrid>
        <w:gridCol w:w="929"/>
        <w:gridCol w:w="2617"/>
        <w:gridCol w:w="2000"/>
        <w:gridCol w:w="2251"/>
      </w:tblGrid>
      <w:tr>
        <w:tblPrEx>
          <w:shd w:val="clear" w:color="auto" w:fill="auto"/>
          <w:tblCellMar>
            <w:top w:w="0" w:type="dxa"/>
            <w:left w:w="0" w:type="dxa"/>
            <w:bottom w:w="0" w:type="dxa"/>
            <w:right w:w="0" w:type="dxa"/>
          </w:tblCellMar>
        </w:tblPrEx>
        <w:trPr>
          <w:trHeight w:val="567" w:hRule="atLeast"/>
          <w:tblHeader/>
          <w:jc w:val="center"/>
        </w:trPr>
        <w:tc>
          <w:tcPr>
            <w:tcW w:w="92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rPr>
            </w:pPr>
            <w:r>
              <w:rPr>
                <w:rFonts w:hint="eastAsia" w:ascii="仿宋" w:hAnsi="仿宋" w:eastAsia="仿宋" w:cs="仿宋"/>
                <w:b/>
                <w:bCs/>
                <w:i w:val="0"/>
                <w:color w:val="auto"/>
                <w:kern w:val="0"/>
                <w:sz w:val="24"/>
                <w:szCs w:val="24"/>
                <w:u w:val="none"/>
                <w:lang w:val="en-US" w:eastAsia="zh-CN" w:bidi="ar"/>
              </w:rPr>
              <w:t>序号</w:t>
            </w:r>
          </w:p>
        </w:tc>
        <w:tc>
          <w:tcPr>
            <w:tcW w:w="261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rPr>
            </w:pPr>
            <w:r>
              <w:rPr>
                <w:rFonts w:hint="eastAsia" w:ascii="仿宋" w:hAnsi="仿宋" w:eastAsia="仿宋" w:cs="仿宋"/>
                <w:b/>
                <w:bCs/>
                <w:i w:val="0"/>
                <w:color w:val="auto"/>
                <w:kern w:val="0"/>
                <w:sz w:val="24"/>
                <w:szCs w:val="24"/>
                <w:u w:val="none"/>
                <w:lang w:val="en-US" w:eastAsia="zh-CN" w:bidi="ar"/>
              </w:rPr>
              <w:t>资助项目</w:t>
            </w:r>
          </w:p>
        </w:tc>
        <w:tc>
          <w:tcPr>
            <w:tcW w:w="20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rPr>
            </w:pPr>
            <w:r>
              <w:rPr>
                <w:rFonts w:hint="eastAsia" w:ascii="仿宋" w:hAnsi="仿宋" w:eastAsia="仿宋" w:cs="仿宋"/>
                <w:b/>
                <w:bCs/>
                <w:i w:val="0"/>
                <w:color w:val="auto"/>
                <w:kern w:val="0"/>
                <w:sz w:val="24"/>
                <w:szCs w:val="24"/>
                <w:u w:val="none"/>
                <w:lang w:val="en-US" w:eastAsia="zh-CN" w:bidi="ar"/>
              </w:rPr>
              <w:t>资助人数（人）</w:t>
            </w:r>
          </w:p>
        </w:tc>
        <w:tc>
          <w:tcPr>
            <w:tcW w:w="225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sz w:val="24"/>
                <w:szCs w:val="24"/>
                <w:u w:val="none"/>
              </w:rPr>
            </w:pPr>
            <w:r>
              <w:rPr>
                <w:rFonts w:hint="eastAsia" w:ascii="仿宋" w:hAnsi="仿宋" w:eastAsia="仿宋" w:cs="仿宋"/>
                <w:b/>
                <w:bCs/>
                <w:i w:val="0"/>
                <w:color w:val="auto"/>
                <w:kern w:val="0"/>
                <w:sz w:val="24"/>
                <w:szCs w:val="24"/>
                <w:u w:val="none"/>
                <w:lang w:val="en-US" w:eastAsia="zh-CN" w:bidi="ar"/>
              </w:rPr>
              <w:t>资助金额（万元）</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国家奖学金</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12</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9.6</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国家励志奖学金</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424</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212</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w:t>
            </w: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国家助学金</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5414</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1689.693</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p>
        </w:tc>
        <w:tc>
          <w:tcPr>
            <w:tcW w:w="26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小计</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1911.293</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c>
          <w:tcPr>
            <w:tcW w:w="2617" w:type="dxa"/>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学费减免</w:t>
            </w:r>
          </w:p>
        </w:tc>
        <w:tc>
          <w:tcPr>
            <w:tcW w:w="200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641</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154.895</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w:t>
            </w:r>
          </w:p>
        </w:tc>
        <w:tc>
          <w:tcPr>
            <w:tcW w:w="2617" w:type="dxa"/>
            <w:tcBorders>
              <w:top w:val="single" w:color="000000" w:sz="4" w:space="0"/>
              <w:left w:val="single" w:color="auto"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校级奖学金</w:t>
            </w:r>
          </w:p>
        </w:tc>
        <w:tc>
          <w:tcPr>
            <w:tcW w:w="200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1008</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57.12</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c>
          <w:tcPr>
            <w:tcW w:w="2617" w:type="dxa"/>
            <w:tcBorders>
              <w:top w:val="single" w:color="000000" w:sz="4" w:space="0"/>
              <w:left w:val="single" w:color="auto"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勤工俭学</w:t>
            </w:r>
          </w:p>
        </w:tc>
        <w:tc>
          <w:tcPr>
            <w:tcW w:w="200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167</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10.372</w:t>
            </w:r>
          </w:p>
        </w:tc>
      </w:tr>
      <w:tr>
        <w:tblPrEx>
          <w:tblCellMar>
            <w:top w:w="0" w:type="dxa"/>
            <w:left w:w="0" w:type="dxa"/>
            <w:bottom w:w="0" w:type="dxa"/>
            <w:right w:w="0" w:type="dxa"/>
          </w:tblCellMar>
        </w:tblPrEx>
        <w:trPr>
          <w:trHeight w:val="567" w:hRule="atLeast"/>
          <w:jc w:val="center"/>
        </w:trPr>
        <w:tc>
          <w:tcPr>
            <w:tcW w:w="929" w:type="dxa"/>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p>
        </w:tc>
        <w:tc>
          <w:tcPr>
            <w:tcW w:w="2617" w:type="dxa"/>
            <w:tcBorders>
              <w:top w:val="single" w:color="000000" w:sz="4" w:space="0"/>
              <w:left w:val="single" w:color="auto"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小计</w:t>
            </w:r>
          </w:p>
        </w:tc>
        <w:tc>
          <w:tcPr>
            <w:tcW w:w="200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222.387</w:t>
            </w:r>
          </w:p>
        </w:tc>
      </w:tr>
      <w:tr>
        <w:tblPrEx>
          <w:tblCellMar>
            <w:top w:w="0" w:type="dxa"/>
            <w:left w:w="0" w:type="dxa"/>
            <w:bottom w:w="0" w:type="dxa"/>
            <w:right w:w="0" w:type="dxa"/>
          </w:tblCellMar>
        </w:tblPrEx>
        <w:trPr>
          <w:trHeight w:val="567" w:hRule="atLeast"/>
          <w:jc w:val="center"/>
        </w:trPr>
        <w:tc>
          <w:tcPr>
            <w:tcW w:w="3546" w:type="dxa"/>
            <w:gridSpan w:val="2"/>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合计</w:t>
            </w:r>
          </w:p>
        </w:tc>
        <w:tc>
          <w:tcPr>
            <w:tcW w:w="2000" w:type="dxa"/>
            <w:tcBorders>
              <w:top w:val="single" w:color="000000" w:sz="4" w:space="0"/>
              <w:left w:val="single" w:color="auto"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7666</w:t>
            </w:r>
          </w:p>
        </w:tc>
        <w:tc>
          <w:tcPr>
            <w:tcW w:w="2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2133.68</w:t>
            </w:r>
          </w:p>
        </w:tc>
      </w:tr>
    </w:tbl>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44" w:name="_Toc7007"/>
      <w:r>
        <w:rPr>
          <w:rFonts w:hint="eastAsia" w:ascii="仿宋" w:hAnsi="仿宋" w:eastAsia="仿宋" w:cs="仿宋"/>
          <w:b/>
          <w:bCs/>
          <w:color w:val="auto"/>
          <w:sz w:val="32"/>
          <w:szCs w:val="32"/>
          <w:lang w:val="en-US" w:eastAsia="zh-CN"/>
        </w:rPr>
        <w:t>2.心理健康服务</w:t>
      </w:r>
      <w:bookmarkEnd w:id="44"/>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2023年，学校心理健康教育工作紧紧围绕“立德树人”总体目标，把育德与育心相结合，注重学生心理成长需要，从健康教育、监测预警、咨询服务、干预处置四个方面开展工作：</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一是健全学生心理健康管理与运行机制，形成心理健康教育合力。依托四级心理健康教育工作体系即：学校-二级学院-班级-宿舍开展心理知识的普及和监测预警，危机干预处置工作。使学校心理健康教育工作更加规范，细化、落实；</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二是修订完善心理健康教育课程标准，实施心理健康教育课程教学改革，将心理课程理论与活动课设置为1:1，充分发挥学生学习主体作用，增加学生参与体验的机会，促进学生更好地掌握心理知识和调适技能，实现心理健康教育课程全覆盖；</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三是根据学生成长需要开展相应心理健康活动。如：“世界睡眠日”活动、“5.25”心理健康活动月开展首届心理委员风采大赛、“抱怨不如改变”紫色手环行动、“爱的抱抱”送温暖活动；世界精神卫生日活动、心理故事演讲比赛、寻找“暖心笑脸”、“构建和谐人际关系”走进学生宿舍等系列主题活动，丰富学生生活；</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四是加大朋辈群体在学校心理健康教育工作中的作用，根据学生需求，通过他们组织开展“一月一主题”心理主题班会7次，充分发挥了朋辈群体的桥梁作用；</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五是加强监测预警和干预处置工作。继续推进班级危机月报和紧级情况及时上报制度，以此了解掌握全校学生心理状态；3月，对2021、2022级10000多名学生进行心理测试和问卷调查；10月，为2023级5747名学生进行心理测评，全面了解和掌握了全校学生的心理健康状况，并对重点问题学生进行了晤谈和干预处置，建立问题学生“一生一策”档案，定期回访，降低产生心理危机事件的风险，保障学生生命安全和学校安全稳定；</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六是继续做好学生线上线下的心理咨询辅导服务工作，及时为有需求的学生提供服务和心理扶持，改善他们的不良心理状况，尽快回归正常的学习和生活；</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七是继续做好辅导员和心理委员的心理知识培训工作，全年共开展师生培训和团辅6次，提升他们的工作能力；</w:t>
      </w:r>
    </w:p>
    <w:p>
      <w:pPr>
        <w:numPr>
          <w:ilvl w:val="0"/>
          <w:numId w:val="0"/>
        </w:numPr>
        <w:spacing w:line="240" w:lineRule="auto"/>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八是继续做好社会服务和科研工作，充分发挥我校心理教师的优势，积极参与当地大中小学心理健康教育一体化活动，到8个学校开展心理讲座和活动9次；参与退役军人适应性培训、“黄丝带同心帮教”等，心理老师不断学习提升，参加各种学习18次，发表期刊论文2篇，参评论文1篇评为“二等奖”，提交结题课题2项。</w:t>
      </w:r>
    </w:p>
    <w:p>
      <w:pPr>
        <w:pStyle w:val="32"/>
        <w:bidi w:val="0"/>
        <w:jc w:val="left"/>
        <w:rPr>
          <w:rFonts w:hint="eastAsia"/>
          <w:lang w:val="en-US" w:eastAsia="zh-CN"/>
        </w:rPr>
      </w:pPr>
      <w:bookmarkStart w:id="45" w:name="_Toc7828"/>
      <w:r>
        <w:rPr>
          <w:rFonts w:hint="eastAsia"/>
          <w:lang w:val="en-US" w:eastAsia="zh-CN"/>
        </w:rPr>
        <w:t>典型案例5：</w:t>
      </w:r>
      <w:bookmarkEnd w:id="45"/>
    </w:p>
    <w:p>
      <w:pPr>
        <w:pStyle w:val="32"/>
        <w:bidi w:val="0"/>
        <w:jc w:val="center"/>
        <w:rPr>
          <w:rFonts w:hint="eastAsia"/>
          <w:lang w:val="en-US" w:eastAsia="zh-CN"/>
        </w:rPr>
      </w:pPr>
      <w:bookmarkStart w:id="46" w:name="_Toc12989"/>
      <w:r>
        <w:rPr>
          <w:rFonts w:hint="eastAsia"/>
          <w:lang w:val="en-US" w:eastAsia="zh-CN"/>
        </w:rPr>
        <w:t>依托朋辈群体活动开展创新心育工作</w:t>
      </w:r>
      <w:bookmarkEnd w:id="46"/>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2023年</w:t>
      </w:r>
      <w:r>
        <w:rPr>
          <w:rFonts w:hint="eastAsia" w:ascii="仿宋" w:hAnsi="仿宋" w:eastAsia="仿宋" w:cs="仿宋"/>
          <w:color w:val="auto"/>
          <w:sz w:val="28"/>
          <w:szCs w:val="28"/>
        </w:rPr>
        <w:t>3</w:t>
      </w:r>
      <w:r>
        <w:rPr>
          <w:rFonts w:hint="eastAsia" w:ascii="仿宋" w:hAnsi="仿宋" w:eastAsia="仿宋" w:cs="仿宋"/>
          <w:color w:val="auto"/>
          <w:sz w:val="28"/>
          <w:szCs w:val="28"/>
          <w:lang w:val="en-US" w:eastAsia="zh-CN"/>
        </w:rPr>
        <w:t>月</w:t>
      </w:r>
      <w:r>
        <w:rPr>
          <w:rFonts w:hint="eastAsia" w:ascii="仿宋" w:hAnsi="仿宋" w:eastAsia="仿宋" w:cs="仿宋"/>
          <w:color w:val="auto"/>
          <w:sz w:val="28"/>
          <w:szCs w:val="28"/>
        </w:rPr>
        <w:t>-12月，学校心理</w:t>
      </w:r>
      <w:r>
        <w:rPr>
          <w:rFonts w:hint="eastAsia" w:ascii="仿宋" w:hAnsi="仿宋" w:eastAsia="仿宋" w:cs="仿宋"/>
          <w:color w:val="auto"/>
          <w:sz w:val="28"/>
          <w:szCs w:val="28"/>
          <w:lang w:val="en-US" w:eastAsia="zh-CN"/>
        </w:rPr>
        <w:t>健康教育</w:t>
      </w:r>
      <w:r>
        <w:rPr>
          <w:rFonts w:hint="eastAsia" w:ascii="仿宋" w:hAnsi="仿宋" w:eastAsia="仿宋" w:cs="仿宋"/>
          <w:color w:val="auto"/>
          <w:sz w:val="28"/>
          <w:szCs w:val="28"/>
        </w:rPr>
        <w:t>中心按照学校人才培养计划，紧紧围绕“立德树人”总体目标，把育德与育心相结合，充分发挥朋辈群体在心理健康教育工作中的桥梁作用，通过他们组织开展“一月一主题”心理主题班会7次，覆盖全校392个班级，12000多名学生参与，心理主题内容涵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自我认识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培养</w:t>
      </w:r>
      <w:r>
        <w:rPr>
          <w:rFonts w:hint="eastAsia" w:ascii="仿宋" w:hAnsi="仿宋" w:eastAsia="仿宋" w:cs="仿宋"/>
          <w:color w:val="auto"/>
          <w:sz w:val="28"/>
          <w:szCs w:val="28"/>
        </w:rPr>
        <w:t>恋爱能力</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构建</w:t>
      </w:r>
      <w:r>
        <w:rPr>
          <w:rFonts w:hint="eastAsia" w:ascii="仿宋" w:hAnsi="仿宋" w:eastAsia="仿宋" w:cs="仿宋"/>
          <w:color w:val="auto"/>
          <w:sz w:val="28"/>
          <w:szCs w:val="28"/>
        </w:rPr>
        <w:t>和谐人际关系</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从心开始，告别拖延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就业心理调适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从心开始，告别拖延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正确认识抑郁症和焦虑症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学会感恩</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等</w:t>
      </w:r>
      <w:r>
        <w:rPr>
          <w:rFonts w:hint="eastAsia" w:ascii="仿宋" w:hAnsi="仿宋" w:eastAsia="仿宋" w:cs="仿宋"/>
          <w:color w:val="auto"/>
          <w:sz w:val="28"/>
          <w:szCs w:val="28"/>
          <w:lang w:val="en-US" w:eastAsia="zh-CN"/>
        </w:rPr>
        <w:t>内容。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b/>
          <w:color w:val="auto"/>
          <w:sz w:val="32"/>
          <w:szCs w:val="32"/>
          <w:lang w:val="en-US" w:eastAsia="zh-CN"/>
        </w:rPr>
      </w:pPr>
      <w:r>
        <w:rPr>
          <w:rFonts w:hint="eastAsia" w:ascii="仿宋" w:hAnsi="仿宋" w:eastAsia="仿宋" w:cs="仿宋"/>
          <w:color w:val="auto"/>
          <w:sz w:val="28"/>
          <w:szCs w:val="28"/>
          <w:lang w:val="en-US" w:eastAsia="zh-CN"/>
        </w:rPr>
        <w:t>通过开展心理主题班会，</w:t>
      </w:r>
      <w:r>
        <w:rPr>
          <w:rFonts w:hint="eastAsia" w:ascii="仿宋" w:hAnsi="仿宋" w:eastAsia="仿宋" w:cs="仿宋"/>
          <w:color w:val="auto"/>
          <w:sz w:val="28"/>
          <w:szCs w:val="28"/>
        </w:rPr>
        <w:t>为普及心理健康知识，</w:t>
      </w:r>
      <w:r>
        <w:rPr>
          <w:rFonts w:hint="eastAsia" w:ascii="仿宋" w:hAnsi="仿宋" w:eastAsia="仿宋" w:cs="仿宋"/>
          <w:color w:val="auto"/>
          <w:sz w:val="28"/>
          <w:szCs w:val="28"/>
          <w:lang w:val="en-US" w:eastAsia="zh-CN"/>
        </w:rPr>
        <w:t>培养学生</w:t>
      </w:r>
      <w:r>
        <w:rPr>
          <w:rFonts w:hint="eastAsia" w:ascii="仿宋" w:hAnsi="仿宋" w:eastAsia="仿宋" w:cs="仿宋"/>
          <w:b w:val="0"/>
          <w:bCs w:val="0"/>
          <w:color w:val="auto"/>
          <w:kern w:val="0"/>
          <w:sz w:val="28"/>
          <w:szCs w:val="28"/>
          <w:lang w:val="en-US" w:eastAsia="zh-CN" w:bidi="ar"/>
        </w:rPr>
        <w:t>自尊自信、理性平和、乐观向上的心理品质，</w:t>
      </w:r>
      <w:r>
        <w:rPr>
          <w:rFonts w:hint="eastAsia" w:ascii="仿宋" w:hAnsi="仿宋" w:eastAsia="仿宋" w:cs="仿宋"/>
          <w:color w:val="auto"/>
          <w:sz w:val="28"/>
          <w:szCs w:val="28"/>
        </w:rPr>
        <w:t>提升学生应对</w:t>
      </w:r>
      <w:r>
        <w:rPr>
          <w:rFonts w:hint="eastAsia" w:ascii="仿宋" w:hAnsi="仿宋" w:eastAsia="仿宋" w:cs="仿宋"/>
          <w:color w:val="auto"/>
          <w:sz w:val="28"/>
          <w:szCs w:val="28"/>
          <w:lang w:val="en-US" w:eastAsia="zh-CN"/>
        </w:rPr>
        <w:t>困难</w:t>
      </w:r>
      <w:r>
        <w:rPr>
          <w:rFonts w:hint="eastAsia" w:ascii="仿宋" w:hAnsi="仿宋" w:eastAsia="仿宋" w:cs="仿宋"/>
          <w:color w:val="auto"/>
          <w:sz w:val="28"/>
          <w:szCs w:val="28"/>
        </w:rPr>
        <w:t>挫折能力</w:t>
      </w:r>
      <w:r>
        <w:rPr>
          <w:rFonts w:hint="eastAsia" w:ascii="仿宋" w:hAnsi="仿宋" w:eastAsia="仿宋" w:cs="仿宋"/>
          <w:color w:val="auto"/>
          <w:sz w:val="28"/>
          <w:szCs w:val="28"/>
          <w:lang w:val="en-US" w:eastAsia="zh-CN"/>
        </w:rPr>
        <w:t>和</w:t>
      </w:r>
      <w:r>
        <w:rPr>
          <w:rFonts w:hint="eastAsia" w:ascii="仿宋" w:hAnsi="仿宋" w:eastAsia="仿宋" w:cs="仿宋"/>
          <w:color w:val="auto"/>
          <w:sz w:val="28"/>
          <w:szCs w:val="28"/>
        </w:rPr>
        <w:t>心理素养，起到了积极的助推作用</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同时也</w:t>
      </w:r>
      <w:r>
        <w:rPr>
          <w:rFonts w:hint="eastAsia" w:ascii="仿宋" w:hAnsi="仿宋" w:eastAsia="仿宋" w:cs="仿宋"/>
          <w:color w:val="auto"/>
          <w:sz w:val="28"/>
          <w:szCs w:val="28"/>
        </w:rPr>
        <w:t>提升</w:t>
      </w:r>
      <w:r>
        <w:rPr>
          <w:rFonts w:hint="eastAsia" w:ascii="仿宋" w:hAnsi="仿宋" w:eastAsia="仿宋" w:cs="仿宋"/>
          <w:color w:val="auto"/>
          <w:sz w:val="28"/>
          <w:szCs w:val="28"/>
          <w:lang w:eastAsia="zh-CN"/>
        </w:rPr>
        <w:t>了</w:t>
      </w:r>
      <w:r>
        <w:rPr>
          <w:rFonts w:hint="eastAsia" w:ascii="仿宋" w:hAnsi="仿宋" w:eastAsia="仿宋" w:cs="仿宋"/>
          <w:color w:val="auto"/>
          <w:sz w:val="28"/>
          <w:szCs w:val="28"/>
          <w:lang w:val="en-US" w:eastAsia="zh-CN"/>
        </w:rPr>
        <w:t>班级心理委员的组织、语言表达、</w:t>
      </w:r>
      <w:r>
        <w:rPr>
          <w:rFonts w:hint="eastAsia" w:ascii="仿宋" w:hAnsi="仿宋" w:eastAsia="仿宋" w:cs="仿宋"/>
          <w:color w:val="auto"/>
          <w:sz w:val="28"/>
          <w:szCs w:val="28"/>
        </w:rPr>
        <w:t>服务他人与自我服务的工作能力，</w:t>
      </w:r>
      <w:r>
        <w:rPr>
          <w:rFonts w:hint="eastAsia" w:ascii="仿宋" w:hAnsi="仿宋" w:eastAsia="仿宋" w:cs="仿宋"/>
          <w:color w:val="auto"/>
          <w:sz w:val="28"/>
          <w:szCs w:val="28"/>
          <w:lang w:val="en-US" w:eastAsia="zh-CN"/>
        </w:rPr>
        <w:t>工作取得了良好的成效。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drawing>
          <wp:inline distT="0" distB="0" distL="114300" distR="114300">
            <wp:extent cx="3846195" cy="2524125"/>
            <wp:effectExtent l="0" t="0" r="1905" b="9525"/>
            <wp:docPr id="10" name="图片 10" descr="B)4$_FT(8EV(8U%EN05OP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4$_FT(8EV(8U%EN05OP2L"/>
                    <pic:cNvPicPr>
                      <a:picLocks noChangeAspect="1"/>
                    </pic:cNvPicPr>
                  </pic:nvPicPr>
                  <pic:blipFill>
                    <a:blip r:embed="rId22"/>
                    <a:stretch>
                      <a:fillRect/>
                    </a:stretch>
                  </pic:blipFill>
                  <pic:spPr>
                    <a:xfrm>
                      <a:off x="0" y="0"/>
                      <a:ext cx="3846195" cy="2524125"/>
                    </a:xfrm>
                    <a:prstGeom prst="rect">
                      <a:avLst/>
                    </a:prstGeom>
                  </pic:spPr>
                </pic:pic>
              </a:graphicData>
            </a:graphic>
          </wp:inline>
        </w:drawing>
      </w:r>
    </w:p>
    <w:p>
      <w:pPr>
        <w:pStyle w:val="31"/>
        <w:bidi w:val="0"/>
        <w:rPr>
          <w:rFonts w:hint="default"/>
          <w:lang w:val="en-US" w:eastAsia="zh-CN"/>
        </w:rPr>
      </w:pPr>
      <w:bookmarkStart w:id="47" w:name="_Toc15124"/>
      <w:r>
        <w:rPr>
          <w:rFonts w:hint="eastAsia"/>
          <w:lang w:val="en-US" w:eastAsia="zh-CN"/>
        </w:rPr>
        <w:t>图9  学生开展心理健康教育主题班会</w:t>
      </w:r>
      <w:bookmarkEnd w:id="47"/>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48" w:name="_Toc22688"/>
      <w:r>
        <w:rPr>
          <w:rFonts w:hint="eastAsia" w:ascii="仿宋" w:hAnsi="仿宋" w:eastAsia="仿宋" w:cs="仿宋"/>
          <w:b/>
          <w:bCs/>
          <w:color w:val="auto"/>
          <w:sz w:val="32"/>
          <w:szCs w:val="32"/>
          <w:lang w:val="en-US" w:eastAsia="zh-CN"/>
        </w:rPr>
        <w:t>3.学生活动</w:t>
      </w:r>
      <w:bookmarkEnd w:id="48"/>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召开了共青团四川三河职业学院委员会第三次团员代表大会暨四川三河职业学院第五次学生代表大会，加强对青年学生的政治引领，促进青年不忘初心，改进作风，从严治团，牢记使命，聚焦主业，服务学生，担当起青年工作的引领职责，全力助推团员青年成长成才。2023年，</w:t>
      </w:r>
      <w:r>
        <w:rPr>
          <w:rFonts w:hint="eastAsia" w:ascii="仿宋" w:hAnsi="仿宋" w:eastAsia="仿宋" w:cs="仿宋"/>
          <w:color w:val="auto"/>
          <w:sz w:val="32"/>
          <w:szCs w:val="32"/>
          <w:lang w:eastAsia="zh-CN"/>
        </w:rPr>
        <w:t>为丰富学生活动，</w:t>
      </w:r>
      <w:r>
        <w:rPr>
          <w:rFonts w:hint="eastAsia" w:ascii="仿宋" w:hAnsi="仿宋" w:eastAsia="仿宋" w:cs="仿宋"/>
          <w:color w:val="auto"/>
          <w:sz w:val="32"/>
          <w:szCs w:val="32"/>
          <w:lang w:val="en-US" w:eastAsia="zh-CN"/>
        </w:rPr>
        <w:t>学校</w:t>
      </w:r>
      <w:r>
        <w:rPr>
          <w:rFonts w:hint="eastAsia" w:ascii="仿宋" w:hAnsi="仿宋" w:eastAsia="仿宋" w:cs="仿宋"/>
          <w:color w:val="auto"/>
          <w:sz w:val="32"/>
          <w:szCs w:val="32"/>
          <w:lang w:eastAsia="zh-CN"/>
        </w:rPr>
        <w:t>举行了校级大型活动</w:t>
      </w:r>
      <w:r>
        <w:rPr>
          <w:rFonts w:hint="eastAsia" w:ascii="仿宋" w:hAnsi="仿宋" w:eastAsia="仿宋" w:cs="仿宋"/>
          <w:color w:val="auto"/>
          <w:sz w:val="32"/>
          <w:szCs w:val="32"/>
          <w:lang w:val="en-US" w:eastAsia="zh-CN"/>
        </w:rPr>
        <w:t>23</w:t>
      </w:r>
      <w:r>
        <w:rPr>
          <w:rFonts w:hint="eastAsia" w:ascii="仿宋" w:hAnsi="仿宋" w:eastAsia="仿宋" w:cs="仿宋"/>
          <w:color w:val="auto"/>
          <w:sz w:val="32"/>
          <w:szCs w:val="32"/>
          <w:lang w:eastAsia="zh-CN"/>
        </w:rPr>
        <w:t>个，其中宣传教育类活动</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个，学术类活动</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个，文体类活动</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lang w:eastAsia="zh-CN"/>
        </w:rPr>
        <w:t>个，另组织开展了</w:t>
      </w:r>
      <w:r>
        <w:rPr>
          <w:rFonts w:hint="eastAsia" w:ascii="仿宋" w:hAnsi="仿宋" w:eastAsia="仿宋" w:cs="仿宋"/>
          <w:color w:val="auto"/>
          <w:sz w:val="32"/>
          <w:szCs w:val="32"/>
          <w:lang w:val="en-US" w:eastAsia="zh-CN"/>
        </w:rPr>
        <w:t>34</w:t>
      </w:r>
      <w:r>
        <w:rPr>
          <w:rFonts w:hint="eastAsia" w:ascii="仿宋" w:hAnsi="仿宋" w:eastAsia="仿宋" w:cs="仿宋"/>
          <w:color w:val="auto"/>
          <w:sz w:val="32"/>
          <w:szCs w:val="32"/>
          <w:lang w:eastAsia="zh-CN"/>
        </w:rPr>
        <w:t>个项目的志愿者活动；同时，在学校团委的支持和管理下，学生组建社团</w:t>
      </w:r>
      <w:r>
        <w:rPr>
          <w:rFonts w:hint="eastAsia" w:ascii="仿宋" w:hAnsi="仿宋" w:eastAsia="仿宋" w:cs="仿宋"/>
          <w:color w:val="auto"/>
          <w:sz w:val="32"/>
          <w:szCs w:val="32"/>
          <w:lang w:val="en-US" w:eastAsia="zh-CN"/>
        </w:rPr>
        <w:t>46个，成员2845人，共开展活动项目学时863学时，详情见表9。</w:t>
      </w:r>
    </w:p>
    <w:p>
      <w:pPr>
        <w:pStyle w:val="30"/>
        <w:bidi w:val="0"/>
        <w:rPr>
          <w:rFonts w:hint="eastAsia"/>
          <w:lang w:val="en-US" w:eastAsia="zh-CN"/>
        </w:rPr>
      </w:pPr>
      <w:bookmarkStart w:id="49" w:name="_Toc22037"/>
      <w:r>
        <w:rPr>
          <w:rFonts w:hint="eastAsia"/>
          <w:lang w:val="en-US" w:eastAsia="zh-CN"/>
        </w:rPr>
        <w:t>表9  学生社团及其课程、活动情况一览表</w:t>
      </w:r>
      <w:bookmarkEnd w:id="49"/>
    </w:p>
    <w:tbl>
      <w:tblPr>
        <w:tblStyle w:val="12"/>
        <w:tblW w:w="82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7"/>
        <w:gridCol w:w="2998"/>
        <w:gridCol w:w="1578"/>
        <w:gridCol w:w="1369"/>
        <w:gridCol w:w="1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9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299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社团名称</w:t>
            </w:r>
          </w:p>
        </w:tc>
        <w:tc>
          <w:tcPr>
            <w:tcW w:w="157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社团类别</w:t>
            </w:r>
          </w:p>
        </w:tc>
        <w:tc>
          <w:tcPr>
            <w:tcW w:w="136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现有成员（人）</w:t>
            </w:r>
          </w:p>
        </w:tc>
        <w:tc>
          <w:tcPr>
            <w:tcW w:w="136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sz w:val="24"/>
                <w:szCs w:val="24"/>
                <w:u w:val="none"/>
              </w:rPr>
              <w:t>活动项目学时数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K-POP舞社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101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计算机协会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72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环保协会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志愿公益类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162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民族团结进步协会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墨缘书法社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魔音吉他社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劲扬武术协会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凝梦乒乓球俱乐部</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静湖文学社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冰之舞轮滑协会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电子爱好者协会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舞韵瑜伽社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篮球社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心理协会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自律互助类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汽车爱好者协会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会计协会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BIM协会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辩论与口才协会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英语社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测量协会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摄影爱好者协会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荔江汉服社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ERP沙盘协会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完美羽毛球协会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120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机械爱好者协会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34</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印象科技社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识图协会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Dream Start动漫社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音咖播音主持社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手工社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37</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习近平新时代中国特色社会主义思想学习会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思想政治类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32</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绅塞网球俱乐部</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聚海足球俱乐部</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34</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反重力滑板社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绘画社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乐约排球俱乐部</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37</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红十字志愿服务队</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志愿公益类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292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38</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佰蕊集花艺社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39</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弈成棋艺社</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70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40</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大学生篮球裁判协会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康复治疗协会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w:t>
            </w:r>
          </w:p>
        </w:tc>
        <w:tc>
          <w:tcPr>
            <w:tcW w:w="2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数学建模协会</w:t>
            </w:r>
          </w:p>
        </w:tc>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36</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w:t>
            </w:r>
          </w:p>
        </w:tc>
        <w:tc>
          <w:tcPr>
            <w:tcW w:w="299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创意设计协会</w:t>
            </w:r>
          </w:p>
        </w:tc>
        <w:tc>
          <w:tcPr>
            <w:tcW w:w="157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44</w:t>
            </w:r>
          </w:p>
        </w:tc>
        <w:tc>
          <w:tcPr>
            <w:tcW w:w="2998"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追梦田径社</w:t>
            </w:r>
          </w:p>
        </w:tc>
        <w:tc>
          <w:tcPr>
            <w:tcW w:w="157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33</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45</w:t>
            </w:r>
          </w:p>
        </w:tc>
        <w:tc>
          <w:tcPr>
            <w:tcW w:w="2998"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大学生数字素养协会</w:t>
            </w:r>
          </w:p>
        </w:tc>
        <w:tc>
          <w:tcPr>
            <w:tcW w:w="1578"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文化体育类</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28</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46</w:t>
            </w:r>
          </w:p>
        </w:tc>
        <w:tc>
          <w:tcPr>
            <w:tcW w:w="2998"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灵创时代协会</w:t>
            </w:r>
          </w:p>
        </w:tc>
        <w:tc>
          <w:tcPr>
            <w:tcW w:w="1578" w:type="dxa"/>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学术科技类</w:t>
            </w:r>
          </w:p>
        </w:tc>
        <w:tc>
          <w:tcPr>
            <w:tcW w:w="273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初创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合计</w:t>
            </w:r>
          </w:p>
        </w:tc>
        <w:tc>
          <w:tcPr>
            <w:tcW w:w="1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2845</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color w:val="auto"/>
                <w:kern w:val="0"/>
                <w:sz w:val="24"/>
                <w:szCs w:val="24"/>
                <w:u w:val="none"/>
                <w:lang w:val="en-US" w:eastAsia="zh-CN" w:bidi="ar"/>
              </w:rPr>
            </w:pPr>
            <w:r>
              <w:rPr>
                <w:rFonts w:hint="eastAsia" w:ascii="仿宋" w:hAnsi="仿宋" w:eastAsia="仿宋" w:cs="仿宋"/>
                <w:i w:val="0"/>
                <w:color w:val="auto"/>
                <w:kern w:val="0"/>
                <w:sz w:val="24"/>
                <w:szCs w:val="24"/>
                <w:u w:val="none"/>
                <w:lang w:val="en-US" w:eastAsia="zh-CN" w:bidi="ar"/>
              </w:rPr>
              <w:t>863</w:t>
            </w:r>
          </w:p>
        </w:tc>
      </w:tr>
    </w:tbl>
    <w:p>
      <w:pPr>
        <w:pStyle w:val="32"/>
        <w:bidi w:val="0"/>
        <w:jc w:val="left"/>
        <w:rPr>
          <w:rFonts w:hint="eastAsia"/>
          <w:lang w:val="en-US" w:eastAsia="zh-CN"/>
        </w:rPr>
      </w:pPr>
      <w:bookmarkStart w:id="50" w:name="_Toc18482"/>
    </w:p>
    <w:p>
      <w:pPr>
        <w:pStyle w:val="32"/>
        <w:bidi w:val="0"/>
        <w:jc w:val="left"/>
        <w:rPr>
          <w:rFonts w:hint="eastAsia"/>
          <w:lang w:val="en-US" w:eastAsia="zh-CN"/>
        </w:rPr>
      </w:pPr>
      <w:r>
        <w:rPr>
          <w:rFonts w:hint="eastAsia"/>
          <w:lang w:val="en-US" w:eastAsia="zh-CN"/>
        </w:rPr>
        <w:t>典型案例6:</w:t>
      </w:r>
      <w:bookmarkEnd w:id="50"/>
    </w:p>
    <w:p>
      <w:pPr>
        <w:pStyle w:val="32"/>
        <w:bidi w:val="0"/>
        <w:jc w:val="center"/>
        <w:rPr>
          <w:rFonts w:hint="eastAsia"/>
          <w:lang w:val="en-US" w:eastAsia="zh-CN"/>
        </w:rPr>
      </w:pPr>
      <w:bookmarkStart w:id="51" w:name="_Toc2289"/>
      <w:r>
        <w:rPr>
          <w:rFonts w:hint="eastAsia"/>
          <w:lang w:val="en-US" w:eastAsia="zh-CN"/>
        </w:rPr>
        <w:t>学校红十字会以“三项行动”为抓手  不断提升工作水平和服务能力</w:t>
      </w:r>
      <w:bookmarkEnd w:id="51"/>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学校红十字会在省、市、县红十字会的指导下，在学校党政领导的重视支持下，积极开展工作，加强组织建设，规范制度运行，创新服务模式，打造工作特色，以“三项行动”为抓手，有效促进学校思想教育、素质教育、健康教育和文化建设。</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一是精心组织“生命行动”，积极参与社会公益。</w:t>
      </w:r>
      <w:r>
        <w:rPr>
          <w:rFonts w:hint="eastAsia" w:ascii="仿宋" w:hAnsi="仿宋" w:eastAsia="仿宋" w:cs="仿宋"/>
          <w:color w:val="auto"/>
          <w:sz w:val="28"/>
          <w:szCs w:val="28"/>
          <w:lang w:val="en-US" w:eastAsia="zh-CN"/>
        </w:rPr>
        <w:t>学校红十字会成立以来，将无偿献血工作与大学生思想政治教育、社会实践、青年志愿者活动、校园文化、社会公益事业相结合，宣传和动员广大师生参与造血干细胞捐献、无偿献血活动，近年来，累计无偿献血近30万毫升，800名师生血样加入中华骨髓库，其中蔡华老师等4名师生实现了造血干细胞成功捐献，学院2023年6月获评泸州市“无偿献血爱心高校”。</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二是全面落实“青春行动”，守护学生身心健康。</w:t>
      </w:r>
      <w:r>
        <w:rPr>
          <w:rFonts w:hint="eastAsia" w:ascii="仿宋" w:hAnsi="仿宋" w:eastAsia="仿宋" w:cs="仿宋"/>
          <w:color w:val="auto"/>
          <w:sz w:val="28"/>
          <w:szCs w:val="28"/>
          <w:lang w:val="en-US" w:eastAsia="zh-CN"/>
        </w:rPr>
        <w:t>学校红十字会关注学生身心健康，高度重视结核病、艾滋病等传染病的健康教育，通过红十字会专家宣讲、主题班会学习、知识竞赛、社会志愿服务等多种形式，有效普及防治知识，指导学生培养健康生活方式和行为习惯。</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三是大力推进“爱心行动”，创新模式服务社会。</w:t>
      </w:r>
      <w:r>
        <w:rPr>
          <w:rFonts w:hint="eastAsia" w:ascii="仿宋" w:hAnsi="仿宋" w:eastAsia="仿宋" w:cs="仿宋"/>
          <w:color w:val="auto"/>
          <w:sz w:val="28"/>
          <w:szCs w:val="28"/>
          <w:lang w:val="en-US" w:eastAsia="zh-CN"/>
        </w:rPr>
        <w:t>学校积极参与红十字人道公益日筹款和残联募捐活动，为壤塘籍学生减免学费，为优秀学生发放校级奖学金等学院红十字会打造品牌志愿活动“衣旧情深”大型爱心募捐，积极服务和奉献社会，先后对阿坝州壤塘县南木达镇等地举行了6次捐赠活动，合计衣物600余箱，折合人民币50余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drawing>
          <wp:inline distT="0" distB="0" distL="114300" distR="114300">
            <wp:extent cx="3999865" cy="2846705"/>
            <wp:effectExtent l="0" t="0" r="635" b="10795"/>
            <wp:docPr id="17" name="图片 17" descr="红十字救护员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红十字救护员培训"/>
                    <pic:cNvPicPr>
                      <a:picLocks noChangeAspect="1"/>
                    </pic:cNvPicPr>
                  </pic:nvPicPr>
                  <pic:blipFill>
                    <a:blip r:embed="rId23"/>
                    <a:stretch>
                      <a:fillRect/>
                    </a:stretch>
                  </pic:blipFill>
                  <pic:spPr>
                    <a:xfrm>
                      <a:off x="0" y="0"/>
                      <a:ext cx="3999865" cy="2846705"/>
                    </a:xfrm>
                    <a:prstGeom prst="rect">
                      <a:avLst/>
                    </a:prstGeom>
                  </pic:spPr>
                </pic:pic>
              </a:graphicData>
            </a:graphic>
          </wp:inline>
        </w:drawing>
      </w:r>
    </w:p>
    <w:p>
      <w:pPr>
        <w:pStyle w:val="31"/>
        <w:bidi w:val="0"/>
        <w:rPr>
          <w:rFonts w:hint="default"/>
          <w:lang w:val="en-US" w:eastAsia="zh-CN"/>
        </w:rPr>
      </w:pPr>
      <w:bookmarkStart w:id="52" w:name="_Toc25237"/>
      <w:r>
        <w:rPr>
          <w:rFonts w:hint="eastAsia"/>
          <w:lang w:val="en-US" w:eastAsia="zh-CN"/>
        </w:rPr>
        <w:t>图10  校红十字会开展学习活动</w:t>
      </w:r>
      <w:bookmarkEnd w:id="52"/>
    </w:p>
    <w:p>
      <w:pPr>
        <w:pStyle w:val="32"/>
        <w:bidi w:val="0"/>
        <w:jc w:val="left"/>
        <w:rPr>
          <w:rFonts w:hint="eastAsia"/>
          <w:lang w:val="en-US" w:eastAsia="zh-CN"/>
        </w:rPr>
      </w:pPr>
      <w:bookmarkStart w:id="53" w:name="_Toc7821"/>
      <w:r>
        <w:rPr>
          <w:rFonts w:hint="eastAsia"/>
          <w:lang w:val="en-US" w:eastAsia="zh-CN"/>
        </w:rPr>
        <w:t>典型案例7：</w:t>
      </w:r>
      <w:bookmarkEnd w:id="53"/>
    </w:p>
    <w:p>
      <w:pPr>
        <w:pStyle w:val="32"/>
        <w:bidi w:val="0"/>
        <w:jc w:val="center"/>
        <w:rPr>
          <w:rFonts w:hint="eastAsia"/>
          <w:lang w:val="en-US" w:eastAsia="zh-CN"/>
        </w:rPr>
      </w:pPr>
      <w:bookmarkStart w:id="54" w:name="_Toc1183"/>
      <w:r>
        <w:rPr>
          <w:rFonts w:hint="eastAsia"/>
          <w:lang w:val="en-US" w:eastAsia="zh-CN"/>
        </w:rPr>
        <w:t>学校举办“读·讲·行”三河经典阅读素质提升节</w:t>
      </w:r>
      <w:bookmarkEnd w:id="54"/>
    </w:p>
    <w:p>
      <w:pPr>
        <w:spacing w:line="24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针对高职学生的阅读现状，</w:t>
      </w:r>
      <w:r>
        <w:rPr>
          <w:rFonts w:hint="eastAsia" w:ascii="仿宋" w:hAnsi="仿宋" w:eastAsia="仿宋" w:cs="仿宋"/>
          <w:color w:val="auto"/>
          <w:sz w:val="28"/>
          <w:szCs w:val="28"/>
          <w:lang w:val="en-US" w:eastAsia="zh-CN"/>
        </w:rPr>
        <w:t>学校</w:t>
      </w:r>
      <w:r>
        <w:rPr>
          <w:rFonts w:hint="eastAsia" w:ascii="仿宋" w:hAnsi="仿宋" w:eastAsia="仿宋" w:cs="仿宋"/>
          <w:color w:val="auto"/>
          <w:sz w:val="28"/>
          <w:szCs w:val="28"/>
        </w:rPr>
        <w:t>图文信息中心通过举办“读•讲•行”三河经典阅读素质提升节，开展各类读书活动，端正学生阅读态度，激发学生阅读兴趣，培养良好的阅读习惯，营造书香三河的良好校园氛围。2023年4月15日启动后，陆续开展了集中阅读挑战、书画比赛、经典书籍竞猜、读者调研、读书分享会等活动，同时联系各部门、各二级学院，共同组织动员学生参加四川省高校阅读文化节系列活动。2023年川渝地区“图书馆杯”英语口语大赛共有81名学生参加，王思笛同学获星级优秀奖、宋婷同学获优秀奖。“做一个博学而有趣的人”21天打卡活动全校共有1049名师生参加，其中166名学生全勤打卡21天，占比16%，王鑫同学获优秀奖。“新时代新征程新作为”微视频创意大赛提交了三个作品，岳文潇、钟雯丽、张世霞三位同学获优秀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2"/>
          <w:szCs w:val="32"/>
          <w:lang w:val="en-US" w:eastAsia="zh-CN"/>
        </w:rPr>
      </w:pPr>
      <w:r>
        <w:rPr>
          <w:rFonts w:hint="eastAsia" w:ascii="仿宋" w:hAnsi="仿宋" w:eastAsia="仿宋" w:cs="仿宋"/>
          <w:color w:val="auto"/>
          <w:sz w:val="32"/>
          <w:szCs w:val="32"/>
        </w:rPr>
        <w:drawing>
          <wp:inline distT="0" distB="0" distL="0" distR="0">
            <wp:extent cx="3645535" cy="2734945"/>
            <wp:effectExtent l="0" t="0" r="1206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srcRect/>
                    <a:stretch>
                      <a:fillRect/>
                    </a:stretch>
                  </pic:blipFill>
                  <pic:spPr>
                    <a:xfrm>
                      <a:off x="0" y="0"/>
                      <a:ext cx="3645535" cy="2734945"/>
                    </a:xfrm>
                    <a:prstGeom prst="rect">
                      <a:avLst/>
                    </a:prstGeom>
                    <a:noFill/>
                    <a:ln>
                      <a:noFill/>
                    </a:ln>
                  </pic:spPr>
                </pic:pic>
              </a:graphicData>
            </a:graphic>
          </wp:inline>
        </w:drawing>
      </w:r>
    </w:p>
    <w:p>
      <w:pPr>
        <w:pStyle w:val="31"/>
        <w:bidi w:val="0"/>
        <w:rPr>
          <w:rFonts w:hint="eastAsia"/>
          <w:lang w:val="en-US" w:eastAsia="zh-CN"/>
        </w:rPr>
      </w:pPr>
      <w:bookmarkStart w:id="55" w:name="_Toc10230"/>
      <w:r>
        <w:rPr>
          <w:rFonts w:hint="eastAsia"/>
          <w:lang w:val="en-US" w:eastAsia="zh-CN"/>
        </w:rPr>
        <w:t>图11  “读·讲·行”三河经典阅读素质提升节启动仪式</w:t>
      </w:r>
      <w:bookmarkEnd w:id="55"/>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56" w:name="_Toc25949"/>
      <w:r>
        <w:rPr>
          <w:rFonts w:hint="eastAsia" w:ascii="仿宋" w:hAnsi="仿宋" w:eastAsia="仿宋" w:cs="仿宋"/>
          <w:b/>
          <w:bCs/>
          <w:color w:val="auto"/>
          <w:sz w:val="32"/>
          <w:szCs w:val="32"/>
          <w:lang w:val="en-US" w:eastAsia="zh-CN"/>
        </w:rPr>
        <w:t>（二）学生素质</w:t>
      </w:r>
      <w:bookmarkEnd w:id="56"/>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2023年，共有1526名学生参加了学校第十二期业余党校培训，占比10.65%，现有学生党员186人、学生预备党员139人、共青团员5164人，合计占比38.3%；学校组织开展大学生体质健康测试，参与测评学生人数为14602人，合格人数12643人，体质测评总体合格率为86.58%；学校毕业生人数4809人，顺利毕业人数4657人，毕业率为96.84%；学生中获得国家职业资格证书的人数为1203人，获得职业技能等级证书的人数为945人，获得“X”技能等级证书的人数为232人，获得各类证书的人数为2380人，占毕业生人数的49.49%。</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57" w:name="_Toc23065"/>
      <w:r>
        <w:rPr>
          <w:rFonts w:hint="eastAsia" w:ascii="仿宋" w:hAnsi="仿宋" w:eastAsia="仿宋" w:cs="仿宋"/>
          <w:b/>
          <w:bCs/>
          <w:color w:val="auto"/>
          <w:sz w:val="32"/>
          <w:szCs w:val="32"/>
          <w:lang w:val="en-US" w:eastAsia="zh-CN"/>
        </w:rPr>
        <w:t>（三）育人成效</w:t>
      </w:r>
      <w:bookmarkEnd w:id="57"/>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校结合办学十年以来的体会和经验，立足新办、民办、县域的校情和低起点生源约束的学情，构建并实践了“四课联动、双核共融”育人模式，通过“四课”激发低起点学生的学习兴趣，通过“双核”明确低起点学生的学习方向，取得了有益成效，是对习近平总书记“职业教育人人皆可成才、人人尽展其才”、“努力让每个人都有人生出彩的机会”等重要论述的践行，体现了职业教育是类型教育的特点。</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58" w:name="_Toc12733"/>
      <w:r>
        <w:rPr>
          <w:rFonts w:hint="eastAsia" w:ascii="仿宋" w:hAnsi="仿宋" w:eastAsia="仿宋" w:cs="仿宋"/>
          <w:b/>
          <w:bCs/>
          <w:color w:val="auto"/>
          <w:sz w:val="32"/>
          <w:szCs w:val="32"/>
          <w:lang w:val="en-US" w:eastAsia="zh-CN"/>
        </w:rPr>
        <w:t>1.学生获得各级各类表彰情况</w:t>
      </w:r>
      <w:bookmarkEnd w:id="58"/>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2023年，我校12名学生获得“国家奖学金”，424名学生获得“国家励志奖学金”，122名学生获得“四川省优秀大学生”荣誉称号，20名学生获得“综合素质A级证书”。</w:t>
      </w:r>
    </w:p>
    <w:p>
      <w:pPr>
        <w:pStyle w:val="32"/>
        <w:bidi w:val="0"/>
        <w:jc w:val="left"/>
        <w:rPr>
          <w:rFonts w:hint="eastAsia"/>
          <w:lang w:val="en-US" w:eastAsia="zh-CN"/>
        </w:rPr>
      </w:pPr>
      <w:bookmarkStart w:id="59" w:name="_Toc4712"/>
      <w:r>
        <w:rPr>
          <w:rFonts w:hint="eastAsia"/>
          <w:lang w:val="en-US" w:eastAsia="zh-CN"/>
        </w:rPr>
        <w:t>典型案例8-1：</w:t>
      </w:r>
      <w:bookmarkEnd w:id="59"/>
    </w:p>
    <w:p>
      <w:pPr>
        <w:pStyle w:val="32"/>
        <w:bidi w:val="0"/>
        <w:jc w:val="center"/>
        <w:rPr>
          <w:rFonts w:hint="eastAsia"/>
          <w:lang w:val="en-US" w:eastAsia="zh-CN"/>
        </w:rPr>
      </w:pPr>
      <w:bookmarkStart w:id="60" w:name="_Toc19197"/>
      <w:r>
        <w:rPr>
          <w:rFonts w:hint="eastAsia"/>
          <w:lang w:val="en-US" w:eastAsia="zh-CN"/>
        </w:rPr>
        <w:t>榜样的力量——周利敏</w:t>
      </w:r>
      <w:bookmarkEnd w:id="60"/>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周利敏，女，汉族，共青团员，就读于四川三河职业学院卫生健康学院药品服务与管理专业20级03班，担任校团委副书记、班长。在校期间获得国家奖学金、综合素质A级证书、“四川省高校大学生红色文化经典诵读大赛”三等奖、“川南片区知识竞赛”三等奖、校一等奖学金、“第二届英语词汇比赛”三等奖，参加“青年大学生马克思主义者培养工程”获优秀学员，是优秀团员、优秀医学生、团学组织工作先进个人、积极分子，多次获得优秀志愿者称号，考取了普通话，计算机一级资格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2139315" cy="3304540"/>
            <wp:effectExtent l="0" t="0" r="13335" b="1016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25"/>
                    <a:stretch>
                      <a:fillRect/>
                    </a:stretch>
                  </pic:blipFill>
                  <pic:spPr>
                    <a:xfrm>
                      <a:off x="0" y="0"/>
                      <a:ext cx="2139315" cy="3304540"/>
                    </a:xfrm>
                    <a:prstGeom prst="rect">
                      <a:avLst/>
                    </a:prstGeom>
                    <a:noFill/>
                    <a:ln w="9525">
                      <a:noFill/>
                    </a:ln>
                  </pic:spPr>
                </pic:pic>
              </a:graphicData>
            </a:graphic>
          </wp:inline>
        </w:drawing>
      </w:r>
    </w:p>
    <w:p>
      <w:pPr>
        <w:pStyle w:val="31"/>
        <w:bidi w:val="0"/>
        <w:rPr>
          <w:rFonts w:hint="eastAsia"/>
          <w:lang w:val="en-US" w:eastAsia="zh-CN"/>
        </w:rPr>
      </w:pPr>
      <w:bookmarkStart w:id="61" w:name="_Toc24025"/>
      <w:r>
        <w:rPr>
          <w:rFonts w:hint="eastAsia"/>
          <w:lang w:val="en-US" w:eastAsia="zh-CN"/>
        </w:rPr>
        <w:t>图12-1  优秀榜样周利敏</w:t>
      </w:r>
      <w:bookmarkEnd w:id="61"/>
    </w:p>
    <w:p>
      <w:pPr>
        <w:pStyle w:val="32"/>
        <w:bidi w:val="0"/>
        <w:jc w:val="left"/>
        <w:rPr>
          <w:rFonts w:hint="eastAsia"/>
          <w:lang w:val="en-US" w:eastAsia="zh-CN"/>
        </w:rPr>
      </w:pPr>
      <w:bookmarkStart w:id="62" w:name="_Toc21916"/>
      <w:r>
        <w:rPr>
          <w:rFonts w:hint="eastAsia"/>
          <w:lang w:val="en-US" w:eastAsia="zh-CN"/>
        </w:rPr>
        <w:t>典型案例8-2：</w:t>
      </w:r>
      <w:bookmarkEnd w:id="62"/>
    </w:p>
    <w:p>
      <w:pPr>
        <w:pStyle w:val="32"/>
        <w:bidi w:val="0"/>
        <w:jc w:val="center"/>
        <w:rPr>
          <w:rFonts w:hint="eastAsia"/>
          <w:lang w:val="en-US" w:eastAsia="zh-CN"/>
        </w:rPr>
      </w:pPr>
      <w:bookmarkStart w:id="63" w:name="_Toc18967"/>
      <w:r>
        <w:rPr>
          <w:rFonts w:hint="eastAsia"/>
          <w:lang w:val="en-US" w:eastAsia="zh-CN"/>
        </w:rPr>
        <w:t>榜样的力量——朱财源</w:t>
      </w:r>
      <w:bookmarkEnd w:id="63"/>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60" w:firstLineChars="200"/>
        <w:jc w:val="both"/>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朱财源，男，汉族，就读于四川三河职业学院工程技术学院2019级计网2班学生，在校期间获得第十一届“蓝桥杯”全国总决赛C/C++大学C组三等奖、2021年“高教社杯”全国数学建模大赛四川省赛区一等奖、第十一届“蓝桥杯”省赛C赛C/C++组一等奖、第十二届“蓝桥杯”省赛C/C++大学C组一等奖、四川省高职院校大学生“网络系统管理”技能大赛三等奖、第九届信息技术技能大赛网络技术应用一等奖、第九届信息技术技能大赛网页设计与制作一等奖、学校C语言编程比赛一等奖。该生2022年专升本至内江师范学院深造学习。</w:t>
      </w:r>
    </w:p>
    <w:p>
      <w:pPr>
        <w:spacing w:line="24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4"/>
          <w:szCs w:val="24"/>
        </w:rPr>
        <w:drawing>
          <wp:inline distT="0" distB="0" distL="114300" distR="114300">
            <wp:extent cx="3724910" cy="2480945"/>
            <wp:effectExtent l="0" t="0" r="8890" b="1460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26"/>
                    <a:stretch>
                      <a:fillRect/>
                    </a:stretch>
                  </pic:blipFill>
                  <pic:spPr>
                    <a:xfrm>
                      <a:off x="0" y="0"/>
                      <a:ext cx="3724910" cy="2480945"/>
                    </a:xfrm>
                    <a:prstGeom prst="rect">
                      <a:avLst/>
                    </a:prstGeom>
                    <a:noFill/>
                    <a:ln w="9525">
                      <a:noFill/>
                    </a:ln>
                  </pic:spPr>
                </pic:pic>
              </a:graphicData>
            </a:graphic>
          </wp:inline>
        </w:drawing>
      </w:r>
    </w:p>
    <w:p>
      <w:pPr>
        <w:pStyle w:val="31"/>
        <w:bidi w:val="0"/>
        <w:rPr>
          <w:rFonts w:hint="eastAsia"/>
          <w:lang w:val="en-US" w:eastAsia="zh-CN"/>
        </w:rPr>
      </w:pPr>
      <w:bookmarkStart w:id="64" w:name="_Toc15623"/>
      <w:r>
        <w:rPr>
          <w:rFonts w:hint="eastAsia"/>
          <w:lang w:val="en-US" w:eastAsia="zh-CN"/>
        </w:rPr>
        <w:t>图12-2  优秀榜样朱财源</w:t>
      </w:r>
      <w:bookmarkEnd w:id="64"/>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65" w:name="_Toc13619"/>
      <w:r>
        <w:rPr>
          <w:rFonts w:hint="eastAsia" w:ascii="仿宋" w:hAnsi="仿宋" w:eastAsia="仿宋" w:cs="仿宋"/>
          <w:b/>
          <w:bCs/>
          <w:color w:val="auto"/>
          <w:sz w:val="32"/>
          <w:szCs w:val="32"/>
          <w:lang w:val="en-US" w:eastAsia="zh-CN"/>
        </w:rPr>
        <w:t>2.学生参加专业技能大赛获奖情况</w:t>
      </w:r>
      <w:bookmarkEnd w:id="65"/>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2023年，我校学生参加各级各类专业技能大赛，获得国家级一等奖1项、二等奖4项、三等奖4项，获得省级一等奖18项、二等奖38项、三等奖79项、优秀奖5项，获得市级一等奖1项、三等奖1项，合计151项，详情见表10：</w:t>
      </w:r>
    </w:p>
    <w:p>
      <w:pPr>
        <w:pStyle w:val="30"/>
        <w:bidi w:val="0"/>
        <w:rPr>
          <w:rFonts w:hint="eastAsia"/>
          <w:lang w:val="en-US" w:eastAsia="zh-CN"/>
        </w:rPr>
      </w:pPr>
      <w:bookmarkStart w:id="66" w:name="_Toc25631"/>
      <w:r>
        <w:rPr>
          <w:rFonts w:hint="eastAsia"/>
          <w:lang w:val="en-US" w:eastAsia="zh-CN"/>
        </w:rPr>
        <w:t>表10  学生参加专业技能大赛获奖情况一览表</w:t>
      </w:r>
      <w:bookmarkEnd w:id="66"/>
    </w:p>
    <w:tbl>
      <w:tblPr>
        <w:tblStyle w:val="12"/>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2"/>
        <w:gridCol w:w="4935"/>
        <w:gridCol w:w="1125"/>
        <w:gridCol w:w="95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jc w:val="center"/>
        </w:trPr>
        <w:tc>
          <w:tcPr>
            <w:tcW w:w="832" w:type="dxa"/>
            <w:shd w:val="clear" w:color="auto" w:fill="A4A4A4"/>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4935" w:type="dxa"/>
            <w:shd w:val="clear" w:color="auto" w:fill="A4A4A4"/>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赛项</w:t>
            </w:r>
          </w:p>
        </w:tc>
        <w:tc>
          <w:tcPr>
            <w:tcW w:w="1125" w:type="dxa"/>
            <w:shd w:val="clear" w:color="auto" w:fill="A4A4A4"/>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级别</w:t>
            </w:r>
          </w:p>
        </w:tc>
        <w:tc>
          <w:tcPr>
            <w:tcW w:w="957" w:type="dxa"/>
            <w:shd w:val="clear" w:color="auto" w:fill="A4A4A4"/>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等次</w:t>
            </w:r>
          </w:p>
        </w:tc>
        <w:tc>
          <w:tcPr>
            <w:tcW w:w="1560" w:type="dxa"/>
            <w:shd w:val="clear" w:color="auto" w:fill="A4A4A4"/>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获奖人</w:t>
            </w:r>
          </w:p>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w:t>
            </w:r>
          </w:p>
        </w:tc>
        <w:tc>
          <w:tcPr>
            <w:tcW w:w="4935"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2023年第五届全国计算机能力挑战赛全国总决赛（高职组PPT赛项）</w:t>
            </w:r>
          </w:p>
        </w:tc>
        <w:tc>
          <w:tcPr>
            <w:tcW w:w="1125"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2023年第五届全国计算机能力挑战赛全国总决赛（高职组PPT赛项）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2023年第五届全国计算机能力挑战赛全国总决赛（高职组Excel赛项）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2023年第五届全国计算机能力挑战赛全国总决赛（高职组Word赛项）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2023年“高教社杯”全国大学生数学建模竞赛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周涛等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2023年第五届全国计算机能力挑战赛全国总决赛（高职组Excel赛项）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潘晓敏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2023年第五届全国计算机能力挑战赛全国总决赛（高职组Word赛项）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杨勇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2023年第五届全国计算机能力挑战赛全国总决赛（高职组PPT赛项）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王鑫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2023年第五届全国计算机能力挑战赛全国总决赛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国家级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2023年“中银杯”四川省职业院校技能大赛（大数据财务分析与应用赛项、人力资源服务赛项）</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李成凤等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王玉霜等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第四届四川省大学生人力资源管理技能竞赛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王玉梅等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首届四川省大学生“星星杯”诗歌大赛创作类</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14</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第三届“外教社·词达人杯”全国大学生英语词汇能力大赛-四川赛区-高职高专非英语专业组</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岳文潇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余兴勇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16</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2023大学生数字技能应用大赛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魏玲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汪鹏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20</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2023年第五届全国高校计算机能力挑战赛（区域赛省赛）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宋波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蒲云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罗宏艳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张庆玲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罗太烽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郭子豪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28</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第四届四川省大学生人力资源管理技能竞赛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梁科等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29</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2023年“高教社杯”全国大学生数学建模竞赛四川赛区</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潘新伟等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罗汝强等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31</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2023年“中银杯”四川省职业院校技能大赛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熊宗晨等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王思懿等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周军河等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欧阳采妮等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李红燕等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刘心玉等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39</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首届四川省大学生“星星杯”诗歌大赛创作类</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威么子阿木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40</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2023年“中文在线杯”全国高职院校信息素养大赛四川赛区选拔赛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余杭芯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41</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第三届“外教社·词达人杯”全国大学生英语词汇能力大赛-四川赛区-高职高专非英语专业组</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李稷淼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刘方钰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周萍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勾雅萌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46</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2023大学生数字技能应用大赛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梁静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夏堂芳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杨荐钦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叶淋莉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罗富元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周陈林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杨佳仪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唐才坤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马清燕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59</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2023年第五届全国高校计算机能力挑战赛（区域赛省赛）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李东华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吴秉倪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向楠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陈美玉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66</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2023年“中银杯”四川省职业院校技能大赛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冉欣明等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欧阳采妮等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王也丹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69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李永香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王媛媛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陈吉祥等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金枰杉等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张渝苹等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江仕昊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付椿荔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76</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2023年“高教社杯”全国大学生数学建模竞赛四川赛区</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孙明军等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杨荐钦等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高政侯等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王粤川等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80</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首届四川省大学生“星星杯”诗歌大赛创作类</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81</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川南片区高校2023年大学生安全知识与技能竞赛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王镫纬等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82</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“巴蜀工匠”杯乡村振兴技术技能大赛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83</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四川省首届康养护理职业技能大赛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黄婷婷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84</w:t>
            </w:r>
          </w:p>
        </w:tc>
        <w:tc>
          <w:tcPr>
            <w:tcW w:w="49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2023年“中文在线杯”全国高职院校信息素养大赛四川赛区选拔赛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岳文潇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85</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第三届“外教社·词达人杯”全国大学生英语词汇能力大赛-四川赛区-高职高专非英语专业组</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黄诗怡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江鸿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蒋小蓉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李广叶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李佳俊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浦仕国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田秋雨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王燕茹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谢思嘉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袁帅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黄佳瑗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97</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2023年第五届全国高校计算机能力挑战赛（区域赛省赛）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张锦瑶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99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谭兴羽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宋波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罗汝强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刘忠铭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邓诗蕊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周群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张庆玲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张庆玲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杨勇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余东琴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刘作梁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黄亚兰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郭清林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代真的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程霞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曾垒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张峻豪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斯鑫阳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潘晓敏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谢正鑫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吴秉倪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李红燕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陈彦泽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128</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2023大学生数字技能应用大赛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汤膨僖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129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潘鑫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邹霜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蔡志滨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曾强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程远婷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杜超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罗青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吕春良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139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田玉涛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140</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王也丹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141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吴舒浪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142</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吴舒浪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143</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朱一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144</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左美玲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145</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优秀奖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曾强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146</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优秀奖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陈艳丽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147</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优秀奖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周军河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148</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优秀奖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周萍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149</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优秀奖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朱一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150</w:t>
            </w:r>
          </w:p>
        </w:tc>
        <w:tc>
          <w:tcPr>
            <w:tcW w:w="493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第二届“酒城工匠杯”职业技能大赛暨创新船业大赛</w:t>
            </w: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付飞虎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151</w:t>
            </w:r>
          </w:p>
        </w:tc>
        <w:tc>
          <w:tcPr>
            <w:tcW w:w="4935" w:type="dxa"/>
            <w:vMerge w:val="continue"/>
            <w:shd w:val="clear" w:color="auto" w:fill="auto"/>
            <w:vAlign w:val="center"/>
          </w:tcPr>
          <w:p>
            <w:pPr>
              <w:jc w:val="center"/>
              <w:rPr>
                <w:rFonts w:hint="eastAsia" w:ascii="仿宋" w:hAnsi="仿宋" w:eastAsia="仿宋" w:cs="仿宋"/>
                <w:i w:val="0"/>
                <w:iCs w:val="0"/>
                <w:color w:val="auto"/>
                <w:sz w:val="24"/>
                <w:szCs w:val="24"/>
                <w:u w:val="none"/>
              </w:rPr>
            </w:pPr>
          </w:p>
        </w:tc>
        <w:tc>
          <w:tcPr>
            <w:tcW w:w="11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市级</w:t>
            </w:r>
          </w:p>
        </w:tc>
        <w:tc>
          <w:tcPr>
            <w:tcW w:w="95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5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梁润强</w:t>
            </w:r>
          </w:p>
        </w:tc>
      </w:tr>
    </w:tbl>
    <w:p>
      <w:pPr>
        <w:pStyle w:val="32"/>
        <w:bidi w:val="0"/>
        <w:jc w:val="left"/>
        <w:rPr>
          <w:rFonts w:hint="eastAsia"/>
          <w:lang w:val="en-US" w:eastAsia="zh-CN"/>
        </w:rPr>
      </w:pPr>
      <w:bookmarkStart w:id="67" w:name="_Toc23378"/>
      <w:r>
        <w:rPr>
          <w:rFonts w:hint="eastAsia"/>
          <w:lang w:val="en-US" w:eastAsia="zh-CN"/>
        </w:rPr>
        <w:t>典型案例9：</w:t>
      </w:r>
      <w:bookmarkEnd w:id="67"/>
    </w:p>
    <w:p>
      <w:pPr>
        <w:pStyle w:val="32"/>
        <w:bidi w:val="0"/>
        <w:jc w:val="center"/>
        <w:rPr>
          <w:rFonts w:hint="eastAsia"/>
          <w:lang w:val="en-US" w:eastAsia="zh-CN"/>
        </w:rPr>
      </w:pPr>
      <w:bookmarkStart w:id="68" w:name="_Toc6288"/>
      <w:r>
        <w:rPr>
          <w:rFonts w:hint="eastAsia"/>
          <w:lang w:val="en-US" w:eastAsia="zh-CN"/>
        </w:rPr>
        <w:t>新商科探索实践“课赛融合”出成效</w:t>
      </w:r>
      <w:bookmarkEnd w:id="68"/>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我校经济管理学院教学团队立足</w:t>
      </w:r>
      <w:r>
        <w:rPr>
          <w:rFonts w:hint="eastAsia" w:ascii="仿宋" w:hAnsi="仿宋" w:eastAsia="仿宋" w:cs="仿宋"/>
          <w:color w:val="auto"/>
          <w:sz w:val="28"/>
          <w:szCs w:val="28"/>
        </w:rPr>
        <w:t>新经济</w:t>
      </w:r>
      <w:r>
        <w:rPr>
          <w:rFonts w:hint="eastAsia" w:ascii="仿宋" w:hAnsi="仿宋" w:eastAsia="仿宋" w:cs="仿宋"/>
          <w:color w:val="auto"/>
          <w:sz w:val="28"/>
          <w:szCs w:val="28"/>
          <w:lang w:val="en-US" w:eastAsia="zh-CN"/>
        </w:rPr>
        <w:t>形式</w:t>
      </w:r>
      <w:r>
        <w:rPr>
          <w:rFonts w:hint="eastAsia" w:ascii="仿宋" w:hAnsi="仿宋" w:eastAsia="仿宋" w:cs="仿宋"/>
          <w:color w:val="auto"/>
          <w:sz w:val="28"/>
          <w:szCs w:val="28"/>
        </w:rPr>
        <w:t>下大数据、人工智能、移动互联网、云计算、物联网、区块链等</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发展的</w:t>
      </w:r>
      <w:r>
        <w:rPr>
          <w:rFonts w:hint="eastAsia" w:ascii="仿宋" w:hAnsi="仿宋" w:eastAsia="仿宋" w:cs="仿宋"/>
          <w:color w:val="auto"/>
          <w:sz w:val="28"/>
          <w:szCs w:val="28"/>
          <w:lang w:val="en-US" w:eastAsia="zh-CN"/>
        </w:rPr>
        <w:t>对</w:t>
      </w:r>
      <w:r>
        <w:rPr>
          <w:rFonts w:hint="eastAsia" w:ascii="仿宋" w:hAnsi="仿宋" w:eastAsia="仿宋" w:cs="仿宋"/>
          <w:color w:val="auto"/>
          <w:sz w:val="28"/>
          <w:szCs w:val="28"/>
        </w:rPr>
        <w:t>商科类职业岗位群</w:t>
      </w:r>
      <w:r>
        <w:rPr>
          <w:rFonts w:hint="eastAsia" w:ascii="仿宋" w:hAnsi="仿宋" w:eastAsia="仿宋" w:cs="仿宋"/>
          <w:color w:val="auto"/>
          <w:sz w:val="28"/>
          <w:szCs w:val="28"/>
          <w:lang w:val="en-US" w:eastAsia="zh-CN"/>
        </w:rPr>
        <w:t>带来的巨大变革</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探索并实践了“新商科‘课岗赛证创’融合”的课程体系建设思路和课程教学实施策略，教学实施效果有效提升，人才培养质量显著提高。</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以“课赛融合”为例，通过充分发挥大赛对教学改革和专业建设的引领作用，举办或鼓励师生参加各级各类专业技能大赛，将技能大赛中的新技术、新标准、新规范融入课程标准。大赛训练与实践教学环节相结合、大赛训练方法与实践教学方法结合、大赛评价标准和教学考核标准结合、职业素养贯穿大赛训练全过程，构建“单项能力训练+综合能力训练+创新能力训练”的实践教学体系，形成“崇尚技能、追求卓越”的大赛文化。2023年，经管学子再次在四川省职业院校系列学生技能大赛中荣获佳绩：荣获省级一等奖2项、二等奖5项、三等奖1项、优秀指导教师11名。</w:t>
      </w:r>
    </w:p>
    <w:p>
      <w:pPr>
        <w:spacing w:line="24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近年来，经管学子共计荣获国家级优胜奖1项，省级一等奖8项，二等奖15项，三等奖13项，其中参赛选手黄慧同学于2021年被四川省人民政府授予“四川省技术能手”称号。</w:t>
      </w:r>
    </w:p>
    <w:p>
      <w:pPr>
        <w:spacing w:line="240" w:lineRule="auto"/>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inline distT="0" distB="0" distL="114300" distR="114300">
            <wp:extent cx="3977640" cy="2982595"/>
            <wp:effectExtent l="0" t="0" r="3810" b="8255"/>
            <wp:docPr id="11" name="图片 11" descr="7F3A1F700C1A6B55FB274D2B5D3B3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F3A1F700C1A6B55FB274D2B5D3B30A3"/>
                    <pic:cNvPicPr>
                      <a:picLocks noChangeAspect="1"/>
                    </pic:cNvPicPr>
                  </pic:nvPicPr>
                  <pic:blipFill>
                    <a:blip r:embed="rId27"/>
                    <a:stretch>
                      <a:fillRect/>
                    </a:stretch>
                  </pic:blipFill>
                  <pic:spPr>
                    <a:xfrm>
                      <a:off x="0" y="0"/>
                      <a:ext cx="3977640" cy="2982595"/>
                    </a:xfrm>
                    <a:prstGeom prst="rect">
                      <a:avLst/>
                    </a:prstGeom>
                  </pic:spPr>
                </pic:pic>
              </a:graphicData>
            </a:graphic>
          </wp:inline>
        </w:drawing>
      </w:r>
    </w:p>
    <w:p>
      <w:pPr>
        <w:pStyle w:val="31"/>
        <w:bidi w:val="0"/>
        <w:rPr>
          <w:rFonts w:hint="default"/>
          <w:lang w:val="en-US" w:eastAsia="zh-CN"/>
        </w:rPr>
      </w:pPr>
      <w:bookmarkStart w:id="69" w:name="_Toc9253"/>
      <w:r>
        <w:rPr>
          <w:rFonts w:hint="eastAsia"/>
          <w:lang w:val="en-US" w:eastAsia="zh-CN"/>
        </w:rPr>
        <w:t>图13  我校经管学子参加2023年省级学生技能大赛</w:t>
      </w:r>
      <w:bookmarkEnd w:id="69"/>
    </w:p>
    <w:p>
      <w:pPr>
        <w:pStyle w:val="32"/>
        <w:bidi w:val="0"/>
        <w:jc w:val="left"/>
        <w:rPr>
          <w:rFonts w:hint="eastAsia"/>
          <w:lang w:val="en-US" w:eastAsia="zh-CN"/>
        </w:rPr>
      </w:pPr>
      <w:bookmarkStart w:id="70" w:name="_Toc5941"/>
      <w:r>
        <w:rPr>
          <w:rFonts w:hint="eastAsia"/>
          <w:lang w:val="en-US" w:eastAsia="zh-CN"/>
        </w:rPr>
        <w:t>典型案例10：</w:t>
      </w:r>
      <w:bookmarkEnd w:id="70"/>
      <w:r>
        <w:rPr>
          <w:rFonts w:hint="eastAsia"/>
          <w:lang w:val="en-US" w:eastAsia="zh-CN"/>
        </w:rPr>
        <w:t xml:space="preserve">  </w:t>
      </w:r>
    </w:p>
    <w:p>
      <w:pPr>
        <w:pStyle w:val="32"/>
        <w:bidi w:val="0"/>
        <w:jc w:val="center"/>
        <w:rPr>
          <w:rFonts w:hint="eastAsia"/>
          <w:lang w:val="en-US" w:eastAsia="zh-CN"/>
        </w:rPr>
      </w:pPr>
      <w:bookmarkStart w:id="71" w:name="_Toc7324"/>
      <w:r>
        <w:rPr>
          <w:rFonts w:hint="eastAsia"/>
          <w:lang w:val="en-US" w:eastAsia="zh-CN"/>
        </w:rPr>
        <w:t>强化数学应用意识  赛教融合频出成效</w:t>
      </w:r>
      <w:bookmarkEnd w:id="71"/>
    </w:p>
    <w:p>
      <w:pPr>
        <w:pStyle w:val="32"/>
        <w:bidi w:val="0"/>
        <w:jc w:val="center"/>
        <w:rPr>
          <w:rFonts w:hint="default"/>
          <w:lang w:val="en-US" w:eastAsia="zh-CN"/>
        </w:rPr>
      </w:pPr>
      <w:bookmarkStart w:id="72" w:name="_Toc23320"/>
      <w:r>
        <w:rPr>
          <w:rFonts w:hint="eastAsia"/>
          <w:lang w:val="en-US" w:eastAsia="zh-CN"/>
        </w:rPr>
        <w:t>我校学子连续五年荣获大学生数学建模竞赛奖</w:t>
      </w:r>
      <w:bookmarkEnd w:id="72"/>
      <w:r>
        <w:rPr>
          <w:rFonts w:hint="eastAsia"/>
          <w:lang w:val="en-US" w:eastAsia="zh-CN"/>
        </w:rPr>
        <w:t>项</w:t>
      </w:r>
    </w:p>
    <w:p>
      <w:pPr>
        <w:spacing w:line="24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2023年，我校10支队伍参加全国大学生数学建模竞赛，最终7支队伍获奖，其中全国二等奖1项，四川省二等奖2项、三等奖4项。五年来共荣获17个奖项，其中国家级二等奖1项、省级一等3项、二等奖5项、三等奖8项。</w:t>
      </w:r>
    </w:p>
    <w:p>
      <w:pPr>
        <w:spacing w:line="24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全国大学生数学建模竞赛是将平常所学的抽象的数学知识应用到实践或生活中,将平常所学的电脑知识趣味化为特色，以集中对数学建模有兴趣的同学,引导他们学习应用数学领域内各方面知识,培养他们运用理论解决实际问题的能力和团队合作精神,激发他们去学习从未接触过的知识,培养他们动手动脑的积极性,提高学生程序设计和应用计算机解决实际问题的能力。</w:t>
      </w:r>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指导学生团队参赛过程中，针对学生数据基础薄弱的学情，我校数学教研室教师深度剖析学生的潜力和短板，优化设计备赛方案，在学生培训的征程中，采取了多管齐下的策略：一是提高学生们的实践练习强度，让他们通过反复实践掌握建模知识；二是通过团队组长的引导，增强内部沟通和交流，以提升凝聚力；三是对学生遇到困难和问题采取思想引导+困难共解措施，稳定学生情绪和树立信心；四是指导老师根据学生的特长，为每名成员制定明确的任务分工，保证比赛过程中的有效协作，让每个人都能在比赛中发挥出自己的优势。</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73" w:name="_Toc18397"/>
      <w:r>
        <w:rPr>
          <w:rFonts w:hint="eastAsia" w:ascii="仿宋" w:hAnsi="仿宋" w:eastAsia="仿宋" w:cs="仿宋"/>
          <w:b/>
          <w:bCs/>
          <w:color w:val="auto"/>
          <w:sz w:val="32"/>
          <w:szCs w:val="32"/>
          <w:lang w:val="en-US" w:eastAsia="zh-CN"/>
        </w:rPr>
        <w:t>3.学生参加文体大赛获奖情况</w:t>
      </w:r>
      <w:bookmarkEnd w:id="73"/>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2023年，我校学生参加各级各类文体大赛，获得省级二等奖4项、三等奖5项，详情见表11：</w:t>
      </w:r>
    </w:p>
    <w:p>
      <w:pPr>
        <w:pStyle w:val="30"/>
        <w:bidi w:val="0"/>
        <w:rPr>
          <w:rFonts w:hint="eastAsia"/>
          <w:lang w:val="en-US" w:eastAsia="zh-CN"/>
        </w:rPr>
      </w:pPr>
      <w:bookmarkStart w:id="74" w:name="_Toc11443"/>
      <w:r>
        <w:rPr>
          <w:rFonts w:hint="eastAsia"/>
          <w:lang w:val="en-US" w:eastAsia="zh-CN"/>
        </w:rPr>
        <w:t>表11  学生参加文体大赛获奖情况一览表</w:t>
      </w:r>
      <w:bookmarkEnd w:id="74"/>
    </w:p>
    <w:tbl>
      <w:tblPr>
        <w:tblStyle w:val="12"/>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3224"/>
        <w:gridCol w:w="1664"/>
        <w:gridCol w:w="1689"/>
        <w:gridCol w:w="738"/>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558" w:type="dxa"/>
            <w:shd w:val="clear" w:color="auto" w:fill="BEBEBE" w:themeFill="background1" w:themeFillShade="BF"/>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lang w:bidi="ar"/>
              </w:rPr>
              <w:t>序号</w:t>
            </w:r>
          </w:p>
        </w:tc>
        <w:tc>
          <w:tcPr>
            <w:tcW w:w="3224" w:type="dxa"/>
            <w:shd w:val="clear" w:color="auto" w:fill="BEBEBE" w:themeFill="background1" w:themeFillShade="BF"/>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lang w:bidi="ar"/>
              </w:rPr>
              <w:t>赛项</w:t>
            </w:r>
          </w:p>
        </w:tc>
        <w:tc>
          <w:tcPr>
            <w:tcW w:w="1664" w:type="dxa"/>
            <w:shd w:val="clear" w:color="auto" w:fill="BEBEBE" w:themeFill="background1" w:themeFillShade="BF"/>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lang w:bidi="ar"/>
              </w:rPr>
              <w:t>项目</w:t>
            </w:r>
          </w:p>
        </w:tc>
        <w:tc>
          <w:tcPr>
            <w:tcW w:w="1689" w:type="dxa"/>
            <w:shd w:val="clear" w:color="auto" w:fill="BEBEBE" w:themeFill="background1" w:themeFillShade="BF"/>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b/>
                <w:color w:val="auto"/>
                <w:kern w:val="0"/>
                <w:sz w:val="24"/>
                <w:szCs w:val="24"/>
                <w:lang w:eastAsia="zh-CN" w:bidi="ar"/>
              </w:rPr>
            </w:pPr>
            <w:r>
              <w:rPr>
                <w:rFonts w:hint="eastAsia" w:ascii="仿宋" w:hAnsi="仿宋" w:eastAsia="仿宋" w:cs="仿宋"/>
                <w:b/>
                <w:color w:val="auto"/>
                <w:kern w:val="0"/>
                <w:sz w:val="24"/>
                <w:szCs w:val="24"/>
                <w:lang w:eastAsia="zh-CN" w:bidi="ar"/>
              </w:rPr>
              <w:t>获奖人</w:t>
            </w:r>
          </w:p>
        </w:tc>
        <w:tc>
          <w:tcPr>
            <w:tcW w:w="738" w:type="dxa"/>
            <w:shd w:val="clear" w:color="auto" w:fill="BEBEBE" w:themeFill="background1" w:themeFillShade="BF"/>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lang w:bidi="ar"/>
              </w:rPr>
              <w:t>级别</w:t>
            </w:r>
          </w:p>
        </w:tc>
        <w:tc>
          <w:tcPr>
            <w:tcW w:w="884" w:type="dxa"/>
            <w:shd w:val="clear" w:color="auto" w:fill="BEBEBE" w:themeFill="background1" w:themeFillShade="BF"/>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b/>
                <w:color w:val="auto"/>
                <w:sz w:val="24"/>
                <w:szCs w:val="24"/>
              </w:rPr>
            </w:pPr>
            <w:r>
              <w:rPr>
                <w:rFonts w:hint="eastAsia" w:ascii="仿宋" w:hAnsi="仿宋" w:eastAsia="仿宋" w:cs="仿宋"/>
                <w:b/>
                <w:color w:val="auto"/>
                <w:kern w:val="0"/>
                <w:sz w:val="24"/>
                <w:szCs w:val="24"/>
                <w:lang w:bidi="ar"/>
              </w:rPr>
              <w:t>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w:t>
            </w:r>
          </w:p>
        </w:tc>
        <w:tc>
          <w:tcPr>
            <w:tcW w:w="3224" w:type="dxa"/>
            <w:vMerge w:val="restart"/>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四川省第十届大学生艺术展演活动</w:t>
            </w: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合唱</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团体</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绘画</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王银萍</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舞蹈</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团体</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表演唱</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团体</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5</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微电影</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赵梅</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6</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摄影</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罗富元</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7</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朗诵</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团体</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8</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设计</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团体</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58" w:type="dxa"/>
            <w:shd w:val="clear" w:color="auto" w:fill="auto"/>
            <w:noWrap/>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9</w:t>
            </w:r>
          </w:p>
        </w:tc>
        <w:tc>
          <w:tcPr>
            <w:tcW w:w="3224" w:type="dxa"/>
            <w:vMerge w:val="continue"/>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p>
        </w:tc>
        <w:tc>
          <w:tcPr>
            <w:tcW w:w="1664" w:type="dxa"/>
            <w:shd w:val="clear" w:color="auto" w:fill="auto"/>
            <w:tcMar>
              <w:top w:w="12" w:type="dxa"/>
              <w:left w:w="12" w:type="dxa"/>
              <w:right w:w="12" w:type="dxa"/>
            </w:tcMar>
            <w:vAlign w:val="center"/>
          </w:tcPr>
          <w:p>
            <w:pPr>
              <w:widowControl/>
              <w:spacing w:line="240"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班级合唱</w:t>
            </w:r>
          </w:p>
        </w:tc>
        <w:tc>
          <w:tcPr>
            <w:tcW w:w="1689"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团体</w:t>
            </w:r>
          </w:p>
        </w:tc>
        <w:tc>
          <w:tcPr>
            <w:tcW w:w="738"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u w:val="none"/>
                <w:lang w:val="en-US" w:eastAsia="zh-CN" w:bidi="ar"/>
              </w:rPr>
              <w:t>省级</w:t>
            </w:r>
          </w:p>
        </w:tc>
        <w:tc>
          <w:tcPr>
            <w:tcW w:w="884" w:type="dxa"/>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三等奖</w:t>
            </w:r>
          </w:p>
        </w:tc>
      </w:tr>
    </w:tbl>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75" w:name="_Toc17452"/>
      <w:r>
        <w:rPr>
          <w:rFonts w:hint="eastAsia" w:ascii="仿宋" w:hAnsi="仿宋" w:eastAsia="仿宋" w:cs="仿宋"/>
          <w:b/>
          <w:bCs/>
          <w:color w:val="auto"/>
          <w:sz w:val="32"/>
          <w:szCs w:val="32"/>
          <w:lang w:val="en-US" w:eastAsia="zh-CN"/>
        </w:rPr>
        <w:t>4.学生参加双创、创意、文创大赛获奖情况</w:t>
      </w:r>
      <w:bookmarkEnd w:id="75"/>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2023年，学校进一步扩充和优化双创工作团队，孵化基地专兼职管理团队扩充到11人，校内外创新创业导师50余人，SYB创业培训师30人（含讲师4人），电商创业导师2人，孵化器从业人员3人，初级技术经纪人3人；共举办GYB创业培训2期、WCL网络创业培训6期、SYB创业培训10期培训，共计培训学员538人；三河博创众创空间现有在孵项目73个、预孵化项目98个，2023年成功孵化出园大学生创业项目15个；开展项目路演18次、创业沙龙15次、专场讲座3场、组织参加各级各类创新创业大赛16次，参与学生3200余人；学生项目（作品）参加省级大学生创新创业大赛获奖3项，7名学生参加合江县创新创业大赛获得“优秀选手”，详情见表12：</w:t>
      </w:r>
    </w:p>
    <w:p>
      <w:pPr>
        <w:pStyle w:val="30"/>
        <w:bidi w:val="0"/>
        <w:rPr>
          <w:rFonts w:hint="eastAsia"/>
          <w:lang w:val="en-US" w:eastAsia="zh-CN"/>
        </w:rPr>
      </w:pPr>
      <w:bookmarkStart w:id="76" w:name="_Toc12433"/>
      <w:r>
        <w:rPr>
          <w:rFonts w:hint="eastAsia"/>
          <w:lang w:val="en-US" w:eastAsia="zh-CN"/>
        </w:rPr>
        <w:t>表12  学生参加创新创业等大赛获奖情况一览表</w:t>
      </w:r>
      <w:bookmarkEnd w:id="76"/>
    </w:p>
    <w:tbl>
      <w:tblPr>
        <w:tblStyle w:val="12"/>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2"/>
        <w:gridCol w:w="2434"/>
        <w:gridCol w:w="733"/>
        <w:gridCol w:w="3183"/>
        <w:gridCol w:w="126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tblHeader/>
          <w:jc w:val="center"/>
        </w:trPr>
        <w:tc>
          <w:tcPr>
            <w:tcW w:w="812" w:type="dxa"/>
            <w:shd w:val="clear" w:color="auto" w:fill="A4A4A4" w:themeFill="background1" w:themeFillShade="A5"/>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2434" w:type="dxa"/>
            <w:shd w:val="clear" w:color="auto" w:fill="A4A4A4" w:themeFill="background1" w:themeFillShade="A5"/>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赛项</w:t>
            </w:r>
          </w:p>
        </w:tc>
        <w:tc>
          <w:tcPr>
            <w:tcW w:w="733" w:type="dxa"/>
            <w:shd w:val="clear" w:color="auto" w:fill="A4A4A4" w:themeFill="background1" w:themeFillShade="A5"/>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级别</w:t>
            </w:r>
          </w:p>
        </w:tc>
        <w:tc>
          <w:tcPr>
            <w:tcW w:w="3183" w:type="dxa"/>
            <w:shd w:val="clear" w:color="auto" w:fill="A4A4A4" w:themeFill="background1" w:themeFillShade="A5"/>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项目、作品</w:t>
            </w:r>
          </w:p>
        </w:tc>
        <w:tc>
          <w:tcPr>
            <w:tcW w:w="1267" w:type="dxa"/>
            <w:shd w:val="clear" w:color="auto" w:fill="A4A4A4" w:themeFill="background1" w:themeFillShade="A5"/>
            <w:noWrap/>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获奖等次</w:t>
            </w:r>
          </w:p>
        </w:tc>
        <w:tc>
          <w:tcPr>
            <w:tcW w:w="1200" w:type="dxa"/>
            <w:shd w:val="clear" w:color="auto" w:fill="A4A4A4" w:themeFill="background1" w:themeFillShade="A5"/>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获奖人（团队）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243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“建行杯”第九届四川省国际“互联网+”大学生创新创业大赛</w:t>
            </w:r>
          </w:p>
        </w:tc>
        <w:tc>
          <w:tcPr>
            <w:tcW w:w="733"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林巡-无人机消防检测网络图传管理系统</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柯贤艺等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243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“建行杯”第九届四川省国际“互联网+”大学生创新创业大赛</w:t>
            </w:r>
          </w:p>
        </w:tc>
        <w:tc>
          <w:tcPr>
            <w:tcW w:w="733"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Rapid-药敏速检</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朱清颖等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c>
          <w:tcPr>
            <w:tcW w:w="2434"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第十七届挑战杯四川省大学生课外学术科技作品竞赛</w:t>
            </w:r>
          </w:p>
        </w:tc>
        <w:tc>
          <w:tcPr>
            <w:tcW w:w="733"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省级</w:t>
            </w: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林巡-无人机消防检测网络图传管理系统林巡-无人机消防检测网络图传管理系统</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三等奖</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柯贤艺等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w:t>
            </w:r>
          </w:p>
        </w:tc>
        <w:tc>
          <w:tcPr>
            <w:tcW w:w="2434" w:type="dxa"/>
            <w:vMerge w:val="restart"/>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合江县创新创业大赛</w:t>
            </w:r>
          </w:p>
        </w:tc>
        <w:tc>
          <w:tcPr>
            <w:tcW w:w="733" w:type="dxa"/>
            <w:vMerge w:val="restart"/>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县级</w:t>
            </w: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匠心独俱-古家俱数字化养护专家</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雷夜玲等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w:t>
            </w:r>
          </w:p>
        </w:tc>
        <w:tc>
          <w:tcPr>
            <w:tcW w:w="2434"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733" w:type="dxa"/>
            <w:vMerge w:val="continue"/>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蜀绣-非遗传承与现代发展传播</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袁帅等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w:t>
            </w:r>
          </w:p>
        </w:tc>
        <w:tc>
          <w:tcPr>
            <w:tcW w:w="2434"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733" w:type="dxa"/>
            <w:vMerge w:val="continue"/>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牟钛-新型管道巡检机器人</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段杰等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w:t>
            </w:r>
          </w:p>
        </w:tc>
        <w:tc>
          <w:tcPr>
            <w:tcW w:w="2434"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733" w:type="dxa"/>
            <w:vMerge w:val="continue"/>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恒温蓝莓花青素提取技术</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达吉日达等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w:t>
            </w:r>
          </w:p>
        </w:tc>
        <w:tc>
          <w:tcPr>
            <w:tcW w:w="2434"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733" w:type="dxa"/>
            <w:vMerge w:val="continue"/>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非遗传承-许家晴雨伞</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杨玉钊等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w:t>
            </w:r>
          </w:p>
        </w:tc>
        <w:tc>
          <w:tcPr>
            <w:tcW w:w="2434"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733" w:type="dxa"/>
            <w:vMerge w:val="continue"/>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林巡-无人机消防检测管理系统</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柯贤艺等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812"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w:t>
            </w:r>
          </w:p>
        </w:tc>
        <w:tc>
          <w:tcPr>
            <w:tcW w:w="2434" w:type="dxa"/>
            <w:vMerge w:val="continue"/>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733" w:type="dxa"/>
            <w:vMerge w:val="continue"/>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p>
        </w:tc>
        <w:tc>
          <w:tcPr>
            <w:tcW w:w="3183"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遇见荔城-特晚熟荔枝</w:t>
            </w:r>
          </w:p>
        </w:tc>
        <w:tc>
          <w:tcPr>
            <w:tcW w:w="1267" w:type="dxa"/>
            <w:shd w:val="clear" w:color="auto" w:fill="auto"/>
            <w:noWrap/>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优秀选手</w:t>
            </w:r>
          </w:p>
        </w:tc>
        <w:tc>
          <w:tcPr>
            <w:tcW w:w="1200" w:type="dxa"/>
            <w:shd w:val="clear" w:color="auto" w:fill="auto"/>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林朝志等</w:t>
            </w:r>
          </w:p>
        </w:tc>
      </w:tr>
    </w:tbl>
    <w:p>
      <w:pPr>
        <w:pStyle w:val="32"/>
        <w:bidi w:val="0"/>
        <w:jc w:val="left"/>
        <w:rPr>
          <w:rFonts w:hint="eastAsia"/>
          <w:lang w:val="en-US" w:eastAsia="zh-CN"/>
        </w:rPr>
      </w:pPr>
      <w:bookmarkStart w:id="77" w:name="_Toc31616"/>
      <w:r>
        <w:rPr>
          <w:rFonts w:hint="eastAsia"/>
          <w:lang w:val="en-US" w:eastAsia="zh-CN"/>
        </w:rPr>
        <w:t>典型案例11：</w:t>
      </w:r>
      <w:bookmarkEnd w:id="77"/>
    </w:p>
    <w:p>
      <w:pPr>
        <w:pStyle w:val="32"/>
        <w:bidi w:val="0"/>
        <w:jc w:val="center"/>
        <w:rPr>
          <w:rFonts w:hint="eastAsia"/>
          <w:lang w:val="en-US" w:eastAsia="zh-CN"/>
        </w:rPr>
      </w:pPr>
      <w:bookmarkStart w:id="78" w:name="_Toc28385"/>
      <w:r>
        <w:rPr>
          <w:rFonts w:hint="eastAsia"/>
          <w:lang w:val="en-US" w:eastAsia="zh-CN"/>
        </w:rPr>
        <w:t>彝族学子返乡创业助振兴  充当助农致富“领头雁”</w:t>
      </w:r>
      <w:bookmarkEnd w:id="78"/>
    </w:p>
    <w:p>
      <w:pPr>
        <w:widowControl/>
        <w:numPr>
          <w:ilvl w:val="0"/>
          <w:numId w:val="0"/>
        </w:numPr>
        <w:spacing w:line="240" w:lineRule="auto"/>
        <w:ind w:lef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我校2018级会计专业彝族学生沈尔弟，2021年毕业后在其家乡盐源县成立盐源县拉力养猪专业合作社，致力推广特色苹果猪创新养殖技术。2023年成立双营农业有限公司，帮助家乡农户销售苹果、核桃等农特产品；公司年营业额300余万元，带动就业28人，每年可以帮助农户增收100多万元；浙江万里学院在其公司建立创新创业实践基地，创业项目先后获得盐源县第三届致富带头人创业大赛“三等奖”，第四届天府杯创新创业大赛盐源赛区三等奖，被评为盐源县创业致富带头人、盐源县创业明星；2023年11月参加四川人社厅主办的“领头雁”乡村创业者能力提升训练营，接受四川发布专访，目</w:t>
      </w:r>
    </w:p>
    <w:p>
      <w:pPr>
        <w:widowControl/>
        <w:numPr>
          <w:ilvl w:val="0"/>
          <w:numId w:val="0"/>
        </w:numPr>
        <w:spacing w:line="24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前该生已成为盐源县返乡创业大学生典型。</w:t>
      </w:r>
    </w:p>
    <w:p>
      <w:pPr>
        <w:widowControl/>
        <w:numPr>
          <w:ilvl w:val="0"/>
          <w:numId w:val="0"/>
        </w:numPr>
        <w:spacing w:line="240"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drawing>
          <wp:inline distT="0" distB="0" distL="114300" distR="114300">
            <wp:extent cx="3927475" cy="2124075"/>
            <wp:effectExtent l="0" t="0" r="15875" b="9525"/>
            <wp:docPr id="18" name="图片 18"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44"/>
                    <pic:cNvPicPr>
                      <a:picLocks noChangeAspect="1"/>
                    </pic:cNvPicPr>
                  </pic:nvPicPr>
                  <pic:blipFill>
                    <a:blip r:embed="rId28"/>
                    <a:stretch>
                      <a:fillRect/>
                    </a:stretch>
                  </pic:blipFill>
                  <pic:spPr>
                    <a:xfrm>
                      <a:off x="0" y="0"/>
                      <a:ext cx="3927475" cy="2124075"/>
                    </a:xfrm>
                    <a:prstGeom prst="rect">
                      <a:avLst/>
                    </a:prstGeom>
                  </pic:spPr>
                </pic:pic>
              </a:graphicData>
            </a:graphic>
          </wp:inline>
        </w:drawing>
      </w:r>
    </w:p>
    <w:p>
      <w:pPr>
        <w:pStyle w:val="31"/>
        <w:bidi w:val="0"/>
        <w:rPr>
          <w:rFonts w:hint="eastAsia"/>
          <w:lang w:val="en-US" w:eastAsia="zh-CN"/>
        </w:rPr>
      </w:pPr>
      <w:bookmarkStart w:id="79" w:name="_Toc2884"/>
      <w:r>
        <w:rPr>
          <w:rFonts w:hint="eastAsia"/>
          <w:lang w:val="en-US" w:eastAsia="zh-CN"/>
        </w:rPr>
        <w:t>图14  我校返乡创业助农致富学生沈尔弟接受四川发布专访</w:t>
      </w:r>
      <w:bookmarkEnd w:id="79"/>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80" w:name="_Toc20491"/>
      <w:r>
        <w:rPr>
          <w:rFonts w:hint="eastAsia" w:ascii="仿宋" w:hAnsi="仿宋" w:eastAsia="仿宋" w:cs="仿宋"/>
          <w:b/>
          <w:bCs/>
          <w:color w:val="auto"/>
          <w:sz w:val="32"/>
          <w:szCs w:val="32"/>
          <w:lang w:val="en-US" w:eastAsia="zh-CN"/>
        </w:rPr>
        <w:t>5.学生专升本情况</w:t>
      </w:r>
      <w:bookmarkEnd w:id="80"/>
    </w:p>
    <w:p>
      <w:pPr>
        <w:spacing w:line="24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学校高度重视专升本工作，积极为参考学生提供服务和保障，学生在202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年四川省全日制专升本</w:t>
      </w:r>
      <w:r>
        <w:rPr>
          <w:rFonts w:hint="eastAsia" w:ascii="仿宋" w:hAnsi="仿宋" w:eastAsia="仿宋" w:cs="仿宋"/>
          <w:color w:val="auto"/>
          <w:sz w:val="32"/>
          <w:szCs w:val="32"/>
          <w:lang w:val="en-US" w:eastAsia="zh-CN"/>
        </w:rPr>
        <w:t>考试中，</w:t>
      </w:r>
      <w:r>
        <w:rPr>
          <w:rFonts w:hint="eastAsia" w:ascii="仿宋" w:hAnsi="仿宋" w:eastAsia="仿宋" w:cs="仿宋"/>
          <w:color w:val="auto"/>
          <w:sz w:val="32"/>
          <w:szCs w:val="32"/>
        </w:rPr>
        <w:t>参考</w:t>
      </w:r>
      <w:r>
        <w:rPr>
          <w:rFonts w:hint="eastAsia" w:ascii="仿宋" w:hAnsi="仿宋" w:eastAsia="仿宋" w:cs="仿宋"/>
          <w:color w:val="auto"/>
          <w:sz w:val="32"/>
          <w:szCs w:val="32"/>
          <w:lang w:val="en-US" w:eastAsia="zh-CN"/>
        </w:rPr>
        <w:t>894</w:t>
      </w:r>
      <w:r>
        <w:rPr>
          <w:rFonts w:hint="eastAsia" w:ascii="仿宋" w:hAnsi="仿宋" w:eastAsia="仿宋" w:cs="仿宋"/>
          <w:color w:val="auto"/>
          <w:sz w:val="32"/>
          <w:szCs w:val="32"/>
        </w:rPr>
        <w:t>人，录取</w:t>
      </w:r>
      <w:r>
        <w:rPr>
          <w:rFonts w:hint="eastAsia" w:ascii="仿宋" w:hAnsi="仿宋" w:eastAsia="仿宋" w:cs="仿宋"/>
          <w:color w:val="auto"/>
          <w:sz w:val="32"/>
          <w:szCs w:val="32"/>
          <w:lang w:val="en-US" w:eastAsia="zh-CN"/>
        </w:rPr>
        <w:t>738</w:t>
      </w:r>
      <w:r>
        <w:rPr>
          <w:rFonts w:hint="eastAsia" w:ascii="仿宋" w:hAnsi="仿宋" w:eastAsia="仿宋" w:cs="仿宋"/>
          <w:color w:val="auto"/>
          <w:sz w:val="32"/>
          <w:szCs w:val="32"/>
        </w:rPr>
        <w:t>人，录取人数较上年新增</w:t>
      </w:r>
      <w:r>
        <w:rPr>
          <w:rFonts w:hint="eastAsia" w:ascii="仿宋" w:hAnsi="仿宋" w:eastAsia="仿宋" w:cs="仿宋"/>
          <w:color w:val="auto"/>
          <w:sz w:val="32"/>
          <w:szCs w:val="32"/>
          <w:lang w:val="en-US" w:eastAsia="zh-CN"/>
        </w:rPr>
        <w:t>167</w:t>
      </w:r>
      <w:r>
        <w:rPr>
          <w:rFonts w:hint="eastAsia" w:ascii="仿宋" w:hAnsi="仿宋" w:eastAsia="仿宋" w:cs="仿宋"/>
          <w:color w:val="auto"/>
          <w:sz w:val="32"/>
          <w:szCs w:val="32"/>
        </w:rPr>
        <w:t>人，202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届毕业生</w:t>
      </w:r>
      <w:r>
        <w:rPr>
          <w:rFonts w:hint="eastAsia" w:ascii="仿宋" w:hAnsi="仿宋" w:eastAsia="仿宋" w:cs="仿宋"/>
          <w:color w:val="auto"/>
          <w:sz w:val="32"/>
          <w:szCs w:val="32"/>
          <w:lang w:val="en-US" w:eastAsia="zh-CN"/>
        </w:rPr>
        <w:t>升本率为15.35</w:t>
      </w:r>
      <w:r>
        <w:rPr>
          <w:rFonts w:hint="eastAsia" w:ascii="仿宋" w:hAnsi="仿宋" w:eastAsia="仿宋" w:cs="仿宋"/>
          <w:color w:val="auto"/>
          <w:sz w:val="32"/>
          <w:szCs w:val="32"/>
        </w:rPr>
        <w:t>%，详情见表1</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p>
    <w:p>
      <w:pPr>
        <w:pStyle w:val="30"/>
        <w:bidi w:val="0"/>
        <w:rPr>
          <w:rFonts w:hint="eastAsia"/>
          <w:lang w:val="en-US" w:eastAsia="zh-CN"/>
        </w:rPr>
      </w:pPr>
      <w:bookmarkStart w:id="81" w:name="_Toc11030"/>
      <w:r>
        <w:rPr>
          <w:rFonts w:hint="eastAsia"/>
          <w:lang w:val="en-US" w:eastAsia="zh-CN"/>
        </w:rPr>
        <w:t>表13  学生专升本录取情况一览表</w:t>
      </w:r>
      <w:bookmarkEnd w:id="81"/>
    </w:p>
    <w:tbl>
      <w:tblPr>
        <w:tblStyle w:val="12"/>
        <w:tblW w:w="8436" w:type="dxa"/>
        <w:tblInd w:w="96" w:type="dxa"/>
        <w:tblLayout w:type="autofit"/>
        <w:tblCellMar>
          <w:top w:w="0" w:type="dxa"/>
          <w:left w:w="108" w:type="dxa"/>
          <w:bottom w:w="0" w:type="dxa"/>
          <w:right w:w="108" w:type="dxa"/>
        </w:tblCellMar>
      </w:tblPr>
      <w:tblGrid>
        <w:gridCol w:w="1423"/>
        <w:gridCol w:w="977"/>
        <w:gridCol w:w="789"/>
        <w:gridCol w:w="942"/>
        <w:gridCol w:w="1492"/>
        <w:gridCol w:w="1657"/>
        <w:gridCol w:w="1156"/>
      </w:tblGrid>
      <w:tr>
        <w:tblPrEx>
          <w:tblCellMar>
            <w:top w:w="0" w:type="dxa"/>
            <w:left w:w="108" w:type="dxa"/>
            <w:bottom w:w="0" w:type="dxa"/>
            <w:right w:w="108" w:type="dxa"/>
          </w:tblCellMar>
        </w:tblPrEx>
        <w:trPr>
          <w:trHeight w:val="567" w:hRule="atLeast"/>
        </w:trPr>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录取学校</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西南医科大学</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宜宾学院</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内江师范学院</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西南财经大学天府学院</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四川外国语大学成都学院</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其他本科高校</w:t>
            </w:r>
          </w:p>
        </w:tc>
      </w:tr>
      <w:tr>
        <w:tblPrEx>
          <w:tblCellMar>
            <w:top w:w="0" w:type="dxa"/>
            <w:left w:w="108" w:type="dxa"/>
            <w:bottom w:w="0" w:type="dxa"/>
            <w:right w:w="108" w:type="dxa"/>
          </w:tblCellMar>
        </w:tblPrEx>
        <w:trPr>
          <w:trHeight w:val="567" w:hRule="atLeast"/>
        </w:trPr>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录取人数</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22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22</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54</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351</w:t>
            </w:r>
          </w:p>
        </w:tc>
        <w:tc>
          <w:tcPr>
            <w:tcW w:w="16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31</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258</w:t>
            </w:r>
          </w:p>
        </w:tc>
      </w:tr>
      <w:tr>
        <w:tblPrEx>
          <w:tblCellMar>
            <w:top w:w="0" w:type="dxa"/>
            <w:left w:w="108" w:type="dxa"/>
            <w:bottom w:w="0" w:type="dxa"/>
            <w:right w:w="108" w:type="dxa"/>
          </w:tblCellMar>
        </w:tblPrEx>
        <w:trPr>
          <w:trHeight w:val="567" w:hRule="atLeast"/>
        </w:trPr>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录取合计</w:t>
            </w:r>
          </w:p>
        </w:tc>
        <w:tc>
          <w:tcPr>
            <w:tcW w:w="701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738</w:t>
            </w:r>
          </w:p>
        </w:tc>
      </w:tr>
      <w:tr>
        <w:tblPrEx>
          <w:tblCellMar>
            <w:top w:w="0" w:type="dxa"/>
            <w:left w:w="108" w:type="dxa"/>
            <w:bottom w:w="0" w:type="dxa"/>
            <w:right w:w="108" w:type="dxa"/>
          </w:tblCellMar>
        </w:tblPrEx>
        <w:trPr>
          <w:trHeight w:val="567" w:hRule="atLeast"/>
        </w:trPr>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较上年新增</w:t>
            </w:r>
          </w:p>
        </w:tc>
        <w:tc>
          <w:tcPr>
            <w:tcW w:w="701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167</w:t>
            </w:r>
            <w:r>
              <w:rPr>
                <w:rFonts w:hint="eastAsia" w:ascii="仿宋" w:hAnsi="仿宋" w:eastAsia="仿宋" w:cs="仿宋"/>
                <w:color w:val="auto"/>
                <w:kern w:val="0"/>
                <w:sz w:val="24"/>
                <w:szCs w:val="24"/>
                <w:lang w:bidi="ar"/>
              </w:rPr>
              <w:t>人</w:t>
            </w:r>
          </w:p>
        </w:tc>
      </w:tr>
      <w:tr>
        <w:tblPrEx>
          <w:tblCellMar>
            <w:top w:w="0" w:type="dxa"/>
            <w:left w:w="108" w:type="dxa"/>
            <w:bottom w:w="0" w:type="dxa"/>
            <w:right w:w="108" w:type="dxa"/>
          </w:tblCellMar>
        </w:tblPrEx>
        <w:trPr>
          <w:trHeight w:val="567" w:hRule="atLeast"/>
        </w:trPr>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占应届毕业生人数</w:t>
            </w:r>
          </w:p>
        </w:tc>
        <w:tc>
          <w:tcPr>
            <w:tcW w:w="701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15.35</w:t>
            </w:r>
            <w:r>
              <w:rPr>
                <w:rFonts w:hint="eastAsia" w:ascii="仿宋" w:hAnsi="仿宋" w:eastAsia="仿宋" w:cs="仿宋"/>
                <w:color w:val="auto"/>
                <w:kern w:val="0"/>
                <w:sz w:val="24"/>
                <w:szCs w:val="24"/>
                <w:lang w:bidi="ar"/>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2"/>
        <w:rPr>
          <w:rFonts w:hint="eastAsia" w:ascii="仿宋" w:hAnsi="仿宋" w:eastAsia="仿宋" w:cs="仿宋"/>
          <w:b/>
          <w:bCs/>
          <w:color w:val="auto"/>
          <w:sz w:val="32"/>
          <w:szCs w:val="32"/>
          <w:lang w:val="en-US" w:eastAsia="zh-CN"/>
        </w:rPr>
      </w:pPr>
      <w:bookmarkStart w:id="82" w:name="_Toc4344"/>
      <w:r>
        <w:rPr>
          <w:rFonts w:hint="eastAsia" w:ascii="仿宋" w:hAnsi="仿宋" w:eastAsia="仿宋" w:cs="仿宋"/>
          <w:b/>
          <w:bCs/>
          <w:color w:val="auto"/>
          <w:sz w:val="32"/>
          <w:szCs w:val="32"/>
          <w:lang w:val="en-US" w:eastAsia="zh-CN"/>
        </w:rPr>
        <w:t>6.毕业生就业情况</w:t>
      </w:r>
      <w:bookmarkEnd w:id="82"/>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截止2023年8月底，全国就业管理系统显示我校2023届毕业生初始就业率为89.09%。</w:t>
      </w:r>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校每年委托麦可思数据有限公司开展毕业生调查，2023届毕业学生人数4809人，填写问卷学生人数4213人，占比87.6%。根据麦可思《四川三河职业学院2023年毕业生就业质量年度报告》显示：（1）2023届毕业生就业相关度为68%，平均月收入为3892元，薪资或职位有提升的占比43%，就业于中国500强企业的占比14%，就业满意度为82%，对就业服务工作的满意度为93%；（2）2023届毕业生西部就业占比89.5%、成渝地区双城经济区就业占比68.6%、省内就业占比75.7%（其中泸州24.4%、成都20.9%），主要就业行业包括医疗和社会护理服务业（33.6%）、教育业（8.9%）、建筑业（7.8%），学校的区域贡献度高；（3）此外，2023届毕业生升学率为15.35%，创业率为5.8%。</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2210435" cy="3119120"/>
            <wp:effectExtent l="9525" t="9525" r="14605" b="12700"/>
            <wp:docPr id="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IMG_256"/>
                    <pic:cNvPicPr>
                      <a:picLocks noChangeAspect="1"/>
                    </pic:cNvPicPr>
                  </pic:nvPicPr>
                  <pic:blipFill>
                    <a:blip r:embed="rId29"/>
                    <a:stretch>
                      <a:fillRect/>
                    </a:stretch>
                  </pic:blipFill>
                  <pic:spPr>
                    <a:xfrm>
                      <a:off x="0" y="0"/>
                      <a:ext cx="2210435" cy="3119120"/>
                    </a:xfrm>
                    <a:prstGeom prst="rect">
                      <a:avLst/>
                    </a:prstGeom>
                    <a:noFill/>
                    <a:ln w="9525">
                      <a:solidFill>
                        <a:srgbClr val="0000FF"/>
                      </a:solidFill>
                    </a:ln>
                  </pic:spPr>
                </pic:pic>
              </a:graphicData>
            </a:graphic>
          </wp:inline>
        </w:drawing>
      </w:r>
    </w:p>
    <w:p>
      <w:pPr>
        <w:pStyle w:val="31"/>
        <w:bidi w:val="0"/>
        <w:rPr>
          <w:rFonts w:hint="default"/>
          <w:lang w:val="en-US" w:eastAsia="zh-CN"/>
        </w:rPr>
      </w:pPr>
      <w:bookmarkStart w:id="83" w:name="_Toc16688"/>
      <w:r>
        <w:rPr>
          <w:rFonts w:hint="eastAsia"/>
          <w:lang w:val="en-US" w:eastAsia="zh-CN"/>
        </w:rPr>
        <w:t>图15  麦可思公司出具学校2023年毕业生就业质量年度报告</w:t>
      </w:r>
      <w:bookmarkEnd w:id="83"/>
    </w:p>
    <w:p>
      <w:pPr>
        <w:pStyle w:val="32"/>
        <w:bidi w:val="0"/>
        <w:jc w:val="left"/>
        <w:rPr>
          <w:rFonts w:hint="eastAsia"/>
          <w:lang w:val="en-US" w:eastAsia="zh-CN"/>
        </w:rPr>
      </w:pPr>
      <w:bookmarkStart w:id="84" w:name="_Toc7774"/>
      <w:r>
        <w:rPr>
          <w:rFonts w:hint="eastAsia"/>
          <w:lang w:val="en-US" w:eastAsia="zh-CN"/>
        </w:rPr>
        <w:t>典型案例12：</w:t>
      </w:r>
      <w:bookmarkEnd w:id="84"/>
    </w:p>
    <w:p>
      <w:pPr>
        <w:pStyle w:val="32"/>
        <w:bidi w:val="0"/>
        <w:jc w:val="center"/>
        <w:rPr>
          <w:rFonts w:hint="eastAsia"/>
          <w:lang w:val="en-US" w:eastAsia="zh-CN"/>
        </w:rPr>
      </w:pPr>
      <w:bookmarkStart w:id="85" w:name="_Toc7355"/>
      <w:r>
        <w:rPr>
          <w:rFonts w:hint="eastAsia"/>
          <w:lang w:val="en-US" w:eastAsia="zh-CN"/>
        </w:rPr>
        <w:t>访企拓岗促就业  学校开展书记校长联系百家企业活动</w:t>
      </w:r>
      <w:bookmarkEnd w:id="85"/>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为全面落实四川省教育厅“书记校长联系百家企业活动—访企拓岗促就业”专项行动工作要求，拓宽就业渠道，帮助我校毕业生高效、优质就业。2023年1月以来，学校对外合作处牵头，多次组织开展书记校长联系百家企业活动，访企拓岗。</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校地企三方围绕人才培养、科学研究、学生实习和就业等方面进行深入交流，以“八个共同”为指导，达成共识，全面推进产教深度融合，实现学校、地方、企业互助共赢。活动开展以来，访问企业275家，开拓就业岗位3625个，帮助毕业生就业，2023年毕业生落实就业去向人数为4355人，去向落实率为90.17%。</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访企，学校、地方、企业进行了深入交流，学校了解了用人单位的用人需求。学校将不断加强内涵建设，深化教育改革，创新人才培养模式，高度重视实习与就业工作，将人才培养与学生发展紧密结合，通过深入与校外企业的交流与合作，积极收集整理并发布用人单位招聘信息，开展就业指导专题讲座、举办线上线下招聘会等，多措并举提高毕业生就业质量。</w:t>
      </w:r>
    </w:p>
    <w:p>
      <w:pPr>
        <w:pStyle w:val="29"/>
        <w:spacing w:line="240" w:lineRule="auto"/>
        <w:ind w:left="0" w:leftChars="0" w:firstLine="0" w:firstLineChars="0"/>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drawing>
          <wp:inline distT="0" distB="0" distL="114300" distR="114300">
            <wp:extent cx="4204970" cy="2604135"/>
            <wp:effectExtent l="0" t="0" r="5080" b="5715"/>
            <wp:docPr id="15" name="图片 1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
                    <pic:cNvPicPr>
                      <a:picLocks noChangeAspect="1"/>
                    </pic:cNvPicPr>
                  </pic:nvPicPr>
                  <pic:blipFill>
                    <a:blip r:embed="rId30"/>
                    <a:stretch>
                      <a:fillRect/>
                    </a:stretch>
                  </pic:blipFill>
                  <pic:spPr>
                    <a:xfrm>
                      <a:off x="0" y="0"/>
                      <a:ext cx="4204970" cy="2604135"/>
                    </a:xfrm>
                    <a:prstGeom prst="rect">
                      <a:avLst/>
                    </a:prstGeom>
                  </pic:spPr>
                </pic:pic>
              </a:graphicData>
            </a:graphic>
          </wp:inline>
        </w:drawing>
      </w:r>
    </w:p>
    <w:p>
      <w:pPr>
        <w:pStyle w:val="31"/>
        <w:bidi w:val="0"/>
        <w:rPr>
          <w:rFonts w:hint="eastAsia"/>
          <w:lang w:val="en-US" w:eastAsia="zh-CN"/>
        </w:rPr>
      </w:pPr>
      <w:bookmarkStart w:id="86" w:name="_Toc23432"/>
      <w:r>
        <w:rPr>
          <w:rFonts w:hint="eastAsia"/>
          <w:lang w:val="en-US" w:eastAsia="zh-CN"/>
        </w:rPr>
        <w:t>图16  党委书记叶昌伦开展书记校长联系百家企业活动</w:t>
      </w:r>
      <w:bookmarkEnd w:id="86"/>
    </w:p>
    <w:p>
      <w:pPr>
        <w:pStyle w:val="29"/>
        <w:spacing w:line="240" w:lineRule="auto"/>
        <w:ind w:left="0" w:leftChars="0" w:firstLine="0" w:firstLineChars="0"/>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drawing>
          <wp:inline distT="0" distB="0" distL="114300" distR="114300">
            <wp:extent cx="4138295" cy="2760980"/>
            <wp:effectExtent l="0" t="0" r="14605" b="1270"/>
            <wp:docPr id="14" name="图片 14"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33"/>
                    <pic:cNvPicPr>
                      <a:picLocks noChangeAspect="1"/>
                    </pic:cNvPicPr>
                  </pic:nvPicPr>
                  <pic:blipFill>
                    <a:blip r:embed="rId31"/>
                    <a:stretch>
                      <a:fillRect/>
                    </a:stretch>
                  </pic:blipFill>
                  <pic:spPr>
                    <a:xfrm>
                      <a:off x="0" y="0"/>
                      <a:ext cx="4138295" cy="2760980"/>
                    </a:xfrm>
                    <a:prstGeom prst="rect">
                      <a:avLst/>
                    </a:prstGeom>
                  </pic:spPr>
                </pic:pic>
              </a:graphicData>
            </a:graphic>
          </wp:inline>
        </w:drawing>
      </w:r>
    </w:p>
    <w:p>
      <w:pPr>
        <w:pStyle w:val="31"/>
        <w:bidi w:val="0"/>
        <w:rPr>
          <w:rFonts w:hint="eastAsia"/>
          <w:lang w:val="en-US" w:eastAsia="zh-CN"/>
        </w:rPr>
      </w:pPr>
      <w:bookmarkStart w:id="87" w:name="_Toc7772"/>
      <w:r>
        <w:rPr>
          <w:rFonts w:hint="eastAsia"/>
          <w:lang w:val="en-US" w:eastAsia="zh-CN"/>
        </w:rPr>
        <w:t>图17  校长彭方弟开展书记校长联系百家企业活动</w:t>
      </w:r>
      <w:bookmarkEnd w:id="87"/>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88" w:name="_Toc11205"/>
      <w:r>
        <w:rPr>
          <w:rFonts w:hint="eastAsia" w:ascii="仿宋" w:hAnsi="仿宋" w:eastAsia="仿宋" w:cs="仿宋"/>
          <w:b/>
          <w:bCs/>
          <w:color w:val="auto"/>
          <w:sz w:val="32"/>
          <w:szCs w:val="32"/>
          <w:lang w:val="en-US" w:eastAsia="zh-CN"/>
        </w:rPr>
        <w:t>（四）在校体验</w:t>
      </w:r>
      <w:bookmarkEnd w:id="88"/>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根据麦可思数据有限公司出具的《四川三河职业学院2023年毕业生就业质量年度报告》显示：学校2023届毕业生对学校的满意度为93%、对学校的教学满意度为96%、对教室及教学设备的满足度为95%、对图书馆与图书资料的满足度为95%、对运动场及体育设施的满足度为94%、对实验实训及相关设备的满足度为93%、对计算机和校园网等信息化设备的满足度为92%、对艺术场馆的满足度为89%。</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val="en-US" w:eastAsia="zh-CN"/>
        </w:rPr>
      </w:pPr>
      <w:bookmarkStart w:id="89" w:name="_Toc24847"/>
      <w:r>
        <w:rPr>
          <w:rFonts w:hint="eastAsia" w:ascii="仿宋" w:hAnsi="仿宋" w:eastAsia="仿宋" w:cs="仿宋"/>
          <w:b/>
          <w:bCs/>
          <w:color w:val="auto"/>
          <w:sz w:val="32"/>
          <w:szCs w:val="32"/>
          <w:lang w:val="en-US" w:eastAsia="zh-CN"/>
        </w:rPr>
        <w:t>五、教学改革</w:t>
      </w:r>
      <w:bookmarkEnd w:id="89"/>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90" w:name="_Toc5324"/>
      <w:r>
        <w:rPr>
          <w:rFonts w:hint="eastAsia" w:ascii="仿宋" w:hAnsi="仿宋" w:eastAsia="仿宋" w:cs="仿宋"/>
          <w:b/>
          <w:bCs/>
          <w:color w:val="auto"/>
          <w:sz w:val="32"/>
          <w:szCs w:val="32"/>
          <w:lang w:val="en-US" w:eastAsia="zh-CN"/>
        </w:rPr>
        <w:t>（一）专业建设</w:t>
      </w:r>
      <w:bookmarkEnd w:id="90"/>
    </w:p>
    <w:p>
      <w:pPr>
        <w:numPr>
          <w:ilvl w:val="0"/>
          <w:numId w:val="0"/>
        </w:num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学校“十四五”事业发展规划，通过专业深入调研，根据我校现有32个专业的社会需求和发展状况，按照压缩专业、调整专业、一般专业、优势专业、重点专业、控制专业进行分类管理；暂停了数控技术、现代物流管理、市场营销等8个专业的招生，集中力量打造现代汽车服务与维修专业群、大健康服务专业群和建筑技术专业群建设，不断探索人才培养模式，逐步形成专业特色、专业优势、专业亮点；持续加强专业建设，2023年，自筹经费826.73万元增添实习实训设备，新建完成数字语音实训室、农产品电子商务实训、装配式建筑实训基地、建筑装饰木工实训室、建筑基础施工实训室等，动物医院正在建设中，设备总值达7522.95万元；“1+X”证书试点专业覆盖率达60%以上；重视人才培养质量，深化“三教”改革，创新人才培养模式，组织修订22个专业人才培养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outlineLvl w:val="1"/>
        <w:rPr>
          <w:rFonts w:hint="default" w:ascii="仿宋" w:hAnsi="仿宋" w:eastAsia="仿宋" w:cs="仿宋"/>
          <w:b/>
          <w:bCs/>
          <w:color w:val="auto"/>
          <w:sz w:val="32"/>
          <w:szCs w:val="32"/>
          <w:lang w:val="en-US" w:eastAsia="zh-CN"/>
        </w:rPr>
      </w:pPr>
      <w:bookmarkStart w:id="91" w:name="_Toc4275"/>
      <w:r>
        <w:rPr>
          <w:rFonts w:hint="eastAsia" w:ascii="仿宋" w:hAnsi="仿宋" w:eastAsia="仿宋" w:cs="仿宋"/>
          <w:b/>
          <w:bCs/>
          <w:color w:val="auto"/>
          <w:sz w:val="32"/>
          <w:szCs w:val="32"/>
          <w:lang w:val="en-US" w:eastAsia="zh-CN"/>
        </w:rPr>
        <w:t>（二）课程建设</w:t>
      </w:r>
      <w:bookmarkEnd w:id="91"/>
    </w:p>
    <w:p>
      <w:pPr>
        <w:numPr>
          <w:ilvl w:val="0"/>
          <w:numId w:val="0"/>
        </w:num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持续加强课程建设，采用学校质量管理平台对课程进行评价考核，经平台考核，2023年，认定新课程134门，合格课程301门、优质课程43门；《计算机应用基础项目化应用案例与实训》教材入选“四川省‘十四五</w:t>
      </w:r>
      <w:r>
        <w:rPr>
          <w:rFonts w:hint="default"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职业教育省级规划教材”建设项目，《用药护理-家庭用药指导》认定为“四川省‘十四五</w:t>
      </w:r>
      <w:r>
        <w:rPr>
          <w:rFonts w:hint="default"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第二批职业教育精品在线开放课程”；《农产品电子商务》《数字经济赋能智慧农业高质量发展的机遇和挑战》《农产品新媒体营销》三门课程被认定为“四川乡村振兴培训金课”；推进四川省现代职业教育体系建设改革重点任务的申报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outlineLvl w:val="1"/>
        <w:rPr>
          <w:rFonts w:hint="default" w:ascii="仿宋" w:hAnsi="仿宋" w:eastAsia="仿宋" w:cs="仿宋"/>
          <w:b/>
          <w:bCs/>
          <w:color w:val="auto"/>
          <w:sz w:val="32"/>
          <w:szCs w:val="32"/>
          <w:lang w:val="en-US" w:eastAsia="zh-CN"/>
        </w:rPr>
      </w:pPr>
      <w:bookmarkStart w:id="92" w:name="_Toc25048"/>
      <w:r>
        <w:rPr>
          <w:rFonts w:hint="eastAsia" w:ascii="仿宋" w:hAnsi="仿宋" w:eastAsia="仿宋" w:cs="仿宋"/>
          <w:b/>
          <w:bCs/>
          <w:color w:val="auto"/>
          <w:sz w:val="32"/>
          <w:szCs w:val="32"/>
          <w:lang w:val="en-US" w:eastAsia="zh-CN"/>
        </w:rPr>
        <w:t>（三）教学资源建设与信息化教学</w:t>
      </w:r>
      <w:bookmarkEnd w:id="92"/>
    </w:p>
    <w:p>
      <w:pPr>
        <w:numPr>
          <w:ilvl w:val="0"/>
          <w:numId w:val="0"/>
        </w:num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大力推进“四课联动、双核共融”育人模式，一二三四课堂联动诊改，案例教学、任务驱动、项目教学及混合式教学等占总开课的84.92%；职教云、三河质控推动信息化教学改革，开出31888次信息化教学课堂，开出学生教学活动73342次，教师线上批阅测试作业762552人次，批改考试153610个，教师信息化使用率达100%；</w:t>
      </w:r>
    </w:p>
    <w:p>
      <w:pPr>
        <w:pStyle w:val="32"/>
        <w:bidi w:val="0"/>
        <w:jc w:val="left"/>
        <w:rPr>
          <w:rFonts w:hint="eastAsia"/>
          <w:lang w:val="en-US" w:eastAsia="zh-CN"/>
        </w:rPr>
      </w:pPr>
      <w:bookmarkStart w:id="93" w:name="_Toc15895"/>
      <w:r>
        <w:rPr>
          <w:rFonts w:hint="eastAsia"/>
          <w:lang w:val="en-US" w:eastAsia="zh-CN"/>
        </w:rPr>
        <w:t>典型案例13：</w:t>
      </w:r>
      <w:bookmarkEnd w:id="93"/>
    </w:p>
    <w:p>
      <w:pPr>
        <w:pStyle w:val="32"/>
        <w:bidi w:val="0"/>
        <w:jc w:val="center"/>
        <w:rPr>
          <w:rFonts w:hint="eastAsia"/>
          <w:lang w:val="en-US" w:eastAsia="zh-CN"/>
        </w:rPr>
      </w:pPr>
      <w:bookmarkStart w:id="94" w:name="_Toc31705"/>
      <w:r>
        <w:rPr>
          <w:rFonts w:hint="eastAsia"/>
          <w:lang w:val="en-US" w:eastAsia="zh-CN"/>
        </w:rPr>
        <w:t>聚焦课程建设  深化教学改革</w:t>
      </w:r>
      <w:bookmarkEnd w:id="94"/>
    </w:p>
    <w:p>
      <w:pPr>
        <w:spacing w:line="24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课程是人才培养的核心要素，学校高度重视课程建设工作，为顺应</w:t>
      </w:r>
      <w:r>
        <w:rPr>
          <w:rFonts w:hint="eastAsia" w:ascii="仿宋" w:hAnsi="仿宋" w:eastAsia="仿宋" w:cs="仿宋"/>
          <w:color w:val="auto"/>
          <w:sz w:val="28"/>
          <w:szCs w:val="28"/>
        </w:rPr>
        <w:t>“互联网+教学”</w:t>
      </w:r>
      <w:r>
        <w:rPr>
          <w:rFonts w:hint="eastAsia" w:ascii="仿宋" w:hAnsi="仿宋" w:eastAsia="仿宋" w:cs="仿宋"/>
          <w:color w:val="auto"/>
          <w:sz w:val="28"/>
          <w:szCs w:val="28"/>
          <w:lang w:val="en-US" w:eastAsia="zh-CN"/>
        </w:rPr>
        <w:t>的优势发展，</w:t>
      </w:r>
      <w:r>
        <w:rPr>
          <w:rFonts w:hint="eastAsia" w:ascii="仿宋" w:hAnsi="仿宋" w:eastAsia="仿宋" w:cs="仿宋"/>
          <w:color w:val="auto"/>
          <w:sz w:val="28"/>
          <w:szCs w:val="28"/>
        </w:rPr>
        <w:t>促进优质课程资源的建设与共享，</w:t>
      </w:r>
      <w:r>
        <w:rPr>
          <w:rFonts w:hint="eastAsia" w:ascii="仿宋" w:hAnsi="仿宋" w:eastAsia="仿宋" w:cs="仿宋"/>
          <w:color w:val="auto"/>
          <w:sz w:val="28"/>
          <w:szCs w:val="28"/>
          <w:lang w:val="en-US" w:eastAsia="zh-CN"/>
        </w:rPr>
        <w:t>学校培育</w:t>
      </w:r>
      <w:r>
        <w:rPr>
          <w:rFonts w:hint="eastAsia" w:ascii="仿宋" w:hAnsi="仿宋" w:eastAsia="仿宋" w:cs="仿宋"/>
          <w:color w:val="auto"/>
          <w:sz w:val="28"/>
          <w:szCs w:val="28"/>
        </w:rPr>
        <w:t>建设</w:t>
      </w:r>
      <w:r>
        <w:rPr>
          <w:rFonts w:hint="eastAsia" w:ascii="仿宋" w:hAnsi="仿宋" w:eastAsia="仿宋" w:cs="仿宋"/>
          <w:color w:val="auto"/>
          <w:sz w:val="28"/>
          <w:szCs w:val="28"/>
          <w:lang w:eastAsia="zh-CN"/>
        </w:rPr>
        <w:t>了</w:t>
      </w:r>
      <w:r>
        <w:rPr>
          <w:rFonts w:hint="eastAsia" w:ascii="仿宋" w:hAnsi="仿宋" w:eastAsia="仿宋" w:cs="仿宋"/>
          <w:color w:val="auto"/>
          <w:sz w:val="28"/>
          <w:szCs w:val="28"/>
          <w:lang w:val="en-US" w:eastAsia="zh-CN"/>
        </w:rPr>
        <w:t>7门</w:t>
      </w:r>
      <w:r>
        <w:rPr>
          <w:rFonts w:hint="eastAsia" w:ascii="仿宋" w:hAnsi="仿宋" w:eastAsia="仿宋" w:cs="仿宋"/>
          <w:color w:val="auto"/>
          <w:sz w:val="28"/>
          <w:szCs w:val="28"/>
        </w:rPr>
        <w:t>在线开放课程</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经过</w:t>
      </w:r>
      <w:r>
        <w:rPr>
          <w:rFonts w:hint="eastAsia" w:ascii="仿宋" w:hAnsi="仿宋" w:eastAsia="仿宋" w:cs="仿宋"/>
          <w:color w:val="auto"/>
          <w:sz w:val="28"/>
          <w:szCs w:val="28"/>
          <w:lang w:val="en-US" w:eastAsia="zh-CN"/>
        </w:rPr>
        <w:t>两</w:t>
      </w:r>
      <w:r>
        <w:rPr>
          <w:rFonts w:hint="eastAsia" w:ascii="仿宋" w:hAnsi="仿宋" w:eastAsia="仿宋" w:cs="仿宋"/>
          <w:color w:val="auto"/>
          <w:sz w:val="28"/>
          <w:szCs w:val="28"/>
        </w:rPr>
        <w:t>年的建设，在“职教云MOOC学院”公开上线</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7门课程</w:t>
      </w:r>
      <w:r>
        <w:rPr>
          <w:rFonts w:hint="eastAsia" w:ascii="仿宋" w:hAnsi="仿宋" w:eastAsia="仿宋" w:cs="仿宋"/>
          <w:color w:val="auto"/>
          <w:sz w:val="28"/>
          <w:szCs w:val="28"/>
          <w:lang w:val="en-US" w:eastAsia="zh-CN"/>
        </w:rPr>
        <w:t>均已入国家职业教育智慧教育平台</w:t>
      </w:r>
      <w:r>
        <w:rPr>
          <w:rFonts w:hint="eastAsia" w:ascii="仿宋" w:hAnsi="仿宋" w:eastAsia="仿宋" w:cs="仿宋"/>
          <w:color w:val="auto"/>
          <w:sz w:val="28"/>
          <w:szCs w:val="28"/>
        </w:rPr>
        <w:t>，累计使用课程单位是</w:t>
      </w:r>
      <w:r>
        <w:rPr>
          <w:rFonts w:hint="eastAsia" w:ascii="仿宋" w:hAnsi="仿宋" w:eastAsia="仿宋" w:cs="仿宋"/>
          <w:color w:val="auto"/>
          <w:sz w:val="28"/>
          <w:szCs w:val="28"/>
          <w:lang w:val="en-US" w:eastAsia="zh-CN"/>
        </w:rPr>
        <w:t>1091</w:t>
      </w:r>
      <w:r>
        <w:rPr>
          <w:rFonts w:hint="eastAsia" w:ascii="仿宋" w:hAnsi="仿宋" w:eastAsia="仿宋" w:cs="仿宋"/>
          <w:color w:val="auto"/>
          <w:sz w:val="28"/>
          <w:szCs w:val="28"/>
        </w:rPr>
        <w:t>个，</w:t>
      </w:r>
      <w:r>
        <w:rPr>
          <w:rFonts w:hint="eastAsia" w:ascii="仿宋" w:hAnsi="仿宋" w:eastAsia="仿宋" w:cs="仿宋"/>
          <w:color w:val="auto"/>
          <w:sz w:val="28"/>
          <w:szCs w:val="28"/>
          <w:lang w:val="en-US" w:eastAsia="zh-CN"/>
        </w:rPr>
        <w:t>累计</w:t>
      </w:r>
      <w:r>
        <w:rPr>
          <w:rFonts w:hint="eastAsia" w:ascii="仿宋" w:hAnsi="仿宋" w:eastAsia="仿宋" w:cs="仿宋"/>
          <w:color w:val="auto"/>
          <w:sz w:val="28"/>
          <w:szCs w:val="28"/>
        </w:rPr>
        <w:t>开课的总学习人数</w:t>
      </w:r>
      <w:r>
        <w:rPr>
          <w:rFonts w:hint="eastAsia" w:ascii="仿宋" w:hAnsi="仿宋" w:eastAsia="仿宋" w:cs="仿宋"/>
          <w:color w:val="auto"/>
          <w:sz w:val="28"/>
          <w:szCs w:val="28"/>
          <w:lang w:val="en-US" w:eastAsia="zh-CN"/>
        </w:rPr>
        <w:t>114850</w:t>
      </w:r>
      <w:r>
        <w:rPr>
          <w:rFonts w:hint="eastAsia" w:ascii="仿宋" w:hAnsi="仿宋" w:eastAsia="仿宋" w:cs="仿宋"/>
          <w:color w:val="auto"/>
          <w:sz w:val="28"/>
          <w:szCs w:val="28"/>
        </w:rPr>
        <w:t>人，累计参与互动</w:t>
      </w:r>
      <w:r>
        <w:rPr>
          <w:rFonts w:hint="eastAsia" w:ascii="仿宋" w:hAnsi="仿宋" w:eastAsia="仿宋" w:cs="仿宋"/>
          <w:color w:val="auto"/>
          <w:sz w:val="28"/>
          <w:szCs w:val="28"/>
          <w:lang w:val="en-US" w:eastAsia="zh-CN"/>
        </w:rPr>
        <w:t>128</w:t>
      </w:r>
      <w:r>
        <w:rPr>
          <w:rFonts w:hint="eastAsia" w:ascii="仿宋" w:hAnsi="仿宋" w:eastAsia="仿宋" w:cs="仿宋"/>
          <w:color w:val="auto"/>
          <w:sz w:val="28"/>
          <w:szCs w:val="28"/>
        </w:rPr>
        <w:t>余</w:t>
      </w:r>
      <w:r>
        <w:rPr>
          <w:rFonts w:hint="eastAsia" w:ascii="仿宋" w:hAnsi="仿宋" w:eastAsia="仿宋" w:cs="仿宋"/>
          <w:color w:val="auto"/>
          <w:sz w:val="28"/>
          <w:szCs w:val="28"/>
          <w:lang w:val="en-US" w:eastAsia="zh-CN"/>
        </w:rPr>
        <w:t>万</w:t>
      </w:r>
      <w:r>
        <w:rPr>
          <w:rFonts w:hint="eastAsia" w:ascii="仿宋" w:hAnsi="仿宋" w:eastAsia="仿宋" w:cs="仿宋"/>
          <w:color w:val="auto"/>
          <w:sz w:val="28"/>
          <w:szCs w:val="28"/>
        </w:rPr>
        <w:t>人次，累计发布日志</w:t>
      </w:r>
      <w:r>
        <w:rPr>
          <w:rFonts w:hint="eastAsia" w:ascii="仿宋" w:hAnsi="仿宋" w:eastAsia="仿宋" w:cs="仿宋"/>
          <w:color w:val="auto"/>
          <w:sz w:val="28"/>
          <w:szCs w:val="28"/>
          <w:lang w:val="en-US" w:eastAsia="zh-CN"/>
        </w:rPr>
        <w:t>289余</w:t>
      </w:r>
      <w:r>
        <w:rPr>
          <w:rFonts w:hint="eastAsia" w:ascii="仿宋" w:hAnsi="仿宋" w:eastAsia="仿宋" w:cs="仿宋"/>
          <w:color w:val="auto"/>
          <w:sz w:val="28"/>
          <w:szCs w:val="28"/>
        </w:rPr>
        <w:t>万次。其中《用药护理-家庭用药指导》</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入选中国社区教育网“能者为师”特色课程</w:t>
      </w:r>
      <w:r>
        <w:rPr>
          <w:rFonts w:hint="eastAsia" w:ascii="仿宋" w:hAnsi="仿宋" w:eastAsia="仿宋" w:cs="仿宋"/>
          <w:color w:val="auto"/>
          <w:sz w:val="28"/>
          <w:szCs w:val="28"/>
          <w:lang w:val="en-US" w:eastAsia="zh-CN"/>
        </w:rPr>
        <w:t>并认定为四川省精品在线开放课程，课程团队参加2023年四川省职业院校教师教学能力大赛和2023年四川省师生信息素养提升实践活动均获省级三等奖，学生参加2023年“中银杯”四川省职业院校技能大赛获省级二等奖、参加“巴蜀工匠”杯乡村振兴技术技能大赛获省级三等奖、四川省首届康养护理职业技能大赛获省级三等奖</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计算机应用基础项目化应用案例与实训</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课程</w:t>
      </w:r>
      <w:r>
        <w:rPr>
          <w:rFonts w:hint="eastAsia" w:ascii="仿宋" w:hAnsi="仿宋" w:eastAsia="仿宋" w:cs="仿宋"/>
          <w:color w:val="auto"/>
          <w:sz w:val="28"/>
          <w:szCs w:val="28"/>
        </w:rPr>
        <w:t>获四川省课程思政示范课程，其课程</w:t>
      </w:r>
      <w:r>
        <w:rPr>
          <w:rFonts w:hint="eastAsia" w:ascii="仿宋" w:hAnsi="仿宋" w:eastAsia="仿宋" w:cs="仿宋"/>
          <w:color w:val="auto"/>
          <w:sz w:val="28"/>
          <w:szCs w:val="28"/>
          <w:lang w:val="en-US" w:eastAsia="zh-CN"/>
        </w:rPr>
        <w:t>团队</w:t>
      </w:r>
      <w:r>
        <w:rPr>
          <w:rFonts w:hint="eastAsia" w:ascii="仿宋" w:hAnsi="仿宋" w:eastAsia="仿宋" w:cs="仿宋"/>
          <w:color w:val="auto"/>
          <w:sz w:val="28"/>
          <w:szCs w:val="28"/>
        </w:rPr>
        <w:t>参加202</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年四川省教师教学能力大赛获省级</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等奖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学生参加2023大学生数字技能应用大赛获一等奖4项、二等奖12项、三等奖15项、优秀奖5项</w:t>
      </w:r>
      <w:r>
        <w:rPr>
          <w:rFonts w:hint="eastAsia" w:ascii="仿宋" w:hAnsi="仿宋" w:eastAsia="仿宋" w:cs="仿宋"/>
          <w:color w:val="auto"/>
          <w:sz w:val="28"/>
          <w:szCs w:val="28"/>
          <w:lang w:eastAsia="zh-CN"/>
        </w:rPr>
        <w:t>。</w:t>
      </w:r>
    </w:p>
    <w:p>
      <w:pPr>
        <w:pStyle w:val="32"/>
        <w:bidi w:val="0"/>
        <w:jc w:val="left"/>
        <w:rPr>
          <w:rFonts w:hint="eastAsia"/>
          <w:lang w:val="en-US" w:eastAsia="zh-CN"/>
        </w:rPr>
      </w:pPr>
      <w:bookmarkStart w:id="95" w:name="_Toc14215"/>
      <w:r>
        <w:rPr>
          <w:rFonts w:hint="eastAsia"/>
          <w:lang w:val="en-US" w:eastAsia="zh-CN"/>
        </w:rPr>
        <w:t>典型案例14：</w:t>
      </w:r>
      <w:bookmarkEnd w:id="95"/>
    </w:p>
    <w:p>
      <w:pPr>
        <w:pStyle w:val="32"/>
        <w:bidi w:val="0"/>
        <w:jc w:val="center"/>
        <w:rPr>
          <w:rFonts w:hint="eastAsia"/>
          <w:lang w:val="en-US" w:eastAsia="zh-CN"/>
        </w:rPr>
      </w:pPr>
      <w:bookmarkStart w:id="96" w:name="_Toc22094"/>
      <w:r>
        <w:rPr>
          <w:rFonts w:hint="eastAsia"/>
          <w:lang w:val="en-US" w:eastAsia="zh-CN"/>
        </w:rPr>
        <w:t>大学计算机应用基础课程的建设与改革</w:t>
      </w:r>
      <w:bookmarkEnd w:id="96"/>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我校《大学计算机应用基础》课程是四川省第三批课程思政示范课程，选用教材为《计算机应用基础项目化应用案例与实训》，是学校教学团队多年实施“以一事之始终为一课”的教学实践总结开发，已列入四川省“十四五”省级规划教材立项建设。</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以课程“项目2 Word图文混排”之“任务2.1字符格式与段落格式设置”为例，教学内容以《人民日报》“职业教育尤重‘工匠精神’”文章为实践案例，学生不但在对文章字符进行格式设置操作实践中，掌握本次课“格式设置”操作技能，培养排版美化素养。在对文章字符阅读中，潜移默化领会“工匠精神”含义，在脑海中对“名工名匠”记忆深刻，如古有木工祖师鲁班和桥梁专家李春，凭工匠精神创造了举世闻名的奇迹，今有“火药微雕”徐立平和“蛟龙两丝”顾秋亮，以大国工匠之魄力助中华民族九天揽月、深海探龙等，他们艰苦奋斗、善于钻研、追求卓越的工匠精神让学生认识到精湛技术和良好职业素养是成为名工名匠的基本条件。课程思政的有机融合，在学生心中根植传承传统文化、爱岗敬业、精益求精职业精神。</w:t>
      </w:r>
    </w:p>
    <w:p>
      <w:pPr>
        <w:pStyle w:val="32"/>
        <w:bidi w:val="0"/>
        <w:jc w:val="left"/>
        <w:rPr>
          <w:rFonts w:hint="eastAsia"/>
          <w:lang w:val="en-US" w:eastAsia="zh-CN"/>
        </w:rPr>
      </w:pPr>
      <w:bookmarkStart w:id="97" w:name="_Toc12912"/>
      <w:r>
        <w:rPr>
          <w:rFonts w:hint="eastAsia"/>
          <w:lang w:val="en-US" w:eastAsia="zh-CN"/>
        </w:rPr>
        <w:t>典型案例15：</w:t>
      </w:r>
      <w:bookmarkEnd w:id="97"/>
    </w:p>
    <w:p>
      <w:pPr>
        <w:pStyle w:val="32"/>
        <w:bidi w:val="0"/>
        <w:jc w:val="center"/>
        <w:rPr>
          <w:rFonts w:hint="eastAsia"/>
          <w:lang w:val="en-US" w:eastAsia="zh-CN"/>
        </w:rPr>
      </w:pPr>
      <w:bookmarkStart w:id="98" w:name="_Toc10963"/>
      <w:r>
        <w:rPr>
          <w:rFonts w:hint="eastAsia"/>
          <w:lang w:val="en-US" w:eastAsia="zh-CN"/>
        </w:rPr>
        <w:t>普及正确用药常识  构建全民用药安全</w:t>
      </w:r>
      <w:bookmarkEnd w:id="98"/>
    </w:p>
    <w:p>
      <w:pPr>
        <w:pStyle w:val="32"/>
        <w:bidi w:val="0"/>
        <w:rPr>
          <w:rFonts w:hint="eastAsia"/>
          <w:lang w:val="en-US" w:eastAsia="zh-CN"/>
        </w:rPr>
      </w:pPr>
      <w:bookmarkStart w:id="99" w:name="_Toc14529"/>
      <w:r>
        <w:rPr>
          <w:rFonts w:hint="eastAsia"/>
          <w:lang w:val="en-US" w:eastAsia="zh-CN"/>
        </w:rPr>
        <w:t>我校教学团队倾力打造在线开放课程</w:t>
      </w:r>
      <w:bookmarkEnd w:id="99"/>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在健康中国2030规划中，用药安全问题已上升到国家层面，我校卫生健康学院教学团队充分利用现代信息技术实施“三教改革”，倾力打造了在线开放课程《</w:t>
      </w:r>
      <w:r>
        <w:rPr>
          <w:rFonts w:hint="eastAsia" w:ascii="仿宋" w:hAnsi="仿宋" w:eastAsia="仿宋" w:cs="仿宋"/>
          <w:color w:val="auto"/>
          <w:sz w:val="28"/>
          <w:szCs w:val="28"/>
        </w:rPr>
        <w:t>用药护理-家庭用药指导</w:t>
      </w:r>
      <w:r>
        <w:rPr>
          <w:rFonts w:hint="eastAsia" w:ascii="仿宋" w:hAnsi="仿宋" w:eastAsia="仿宋" w:cs="仿宋"/>
          <w:color w:val="auto"/>
          <w:sz w:val="28"/>
          <w:szCs w:val="28"/>
          <w:lang w:val="en-US" w:eastAsia="zh-CN"/>
        </w:rPr>
        <w:t>》。</w:t>
      </w:r>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课程建设综合教学资源包，包括课堂预习、微课视频、教学环节、作业考试、学生评价等；教学内容主要包括抗感冒药用药指导、抗高血压用药指导、降糖药用药指导等18个单元，50节课程内容，总计2学分；教案、课件、音视频资料等形式30GB左右，其中线上课视频总时长超过500分钟；学生的作业和考核以及过程性评价，使学习者学会根据症状识药、用药等常识。</w:t>
      </w:r>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自开放以来，该课程累计选课人数11100人次，线上讨论区参与人数600，后台评价超过2000条，河北工业职业技术大学、昆明冶金高等专科学校、石家庄铁路职业技术学院、岳阳职业技术学院、河南建筑职业技术学院等160余所学校的400余名外校学生进行了选修，学生对于药品认识有明显提高，学习效果反馈良好。</w:t>
      </w:r>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2022年，该课程入选国家级社区教育“能者为师”首批推介系列特色课程，在“网上社区教育大讲堂”微信公众号开放供社会人员自由学习，学习人数超过1000；同年被国家开放大学终身教育平台收录；2023年被四川省教育厅认定为四川省职业教育精品在线开放课程；教学团队依托此课程成功申报四川省教育厅重点教改项目1项。</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00" w:name="_Toc16716"/>
      <w:r>
        <w:rPr>
          <w:rFonts w:hint="eastAsia" w:ascii="仿宋" w:hAnsi="仿宋" w:eastAsia="仿宋" w:cs="仿宋"/>
          <w:b/>
          <w:bCs/>
          <w:color w:val="auto"/>
          <w:sz w:val="32"/>
          <w:szCs w:val="32"/>
          <w:lang w:val="en-US" w:eastAsia="zh-CN"/>
        </w:rPr>
        <w:t>（四）政行企校协同育人</w:t>
      </w:r>
      <w:bookmarkEnd w:id="100"/>
    </w:p>
    <w:p>
      <w:pPr>
        <w:spacing w:line="240" w:lineRule="auto"/>
        <w:ind w:firstLine="640" w:firstLineChars="200"/>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截至2023年12月底，我校政行企合作单位增至578家，其中政校合作单位14家，校企合作单位564家（工程技术类140家，经管类53家，建筑类70家，学前教育170家，卫生健康类122家，农业类9家），四川省454家，省外124家，共计建成校企合作优质基地99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strike w:val="0"/>
          <w:dstrike w:val="0"/>
          <w:color w:val="auto"/>
          <w:kern w:val="0"/>
          <w:sz w:val="32"/>
          <w:szCs w:val="32"/>
          <w:lang w:val="en-US" w:eastAsia="zh-CN"/>
        </w:rPr>
      </w:pPr>
      <w:r>
        <w:rPr>
          <w:rFonts w:hint="eastAsia" w:ascii="仿宋" w:hAnsi="仿宋" w:eastAsia="仿宋" w:cs="仿宋"/>
          <w:b w:val="0"/>
          <w:bCs w:val="0"/>
          <w:strike w:val="0"/>
          <w:dstrike w:val="0"/>
          <w:color w:val="auto"/>
          <w:kern w:val="0"/>
          <w:sz w:val="32"/>
          <w:szCs w:val="32"/>
          <w:lang w:val="en-US" w:eastAsia="zh-CN"/>
        </w:rPr>
        <w:t>——学校卫生健康学院先后与合江县人民医院、合江县中医医院、泸县人民医院共建四川三河职业学院非直管附属医院和双师型教师培训基地。2023年，医院接收教师挂职锻炼8人，接收学生临床实习2248人次；学校培训医院员工92人次，聘请医院校外兼职教师30余人；与合江县人民医院举行“工学交替”教学模式，每两周为单位按班级滚动派出学生入医院见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val="0"/>
          <w:bCs w:val="0"/>
          <w:strike w:val="0"/>
          <w:dstrike w:val="0"/>
          <w:color w:val="auto"/>
          <w:kern w:val="0"/>
          <w:sz w:val="32"/>
          <w:szCs w:val="32"/>
          <w:lang w:val="en-US" w:eastAsia="zh-CN"/>
        </w:rPr>
      </w:pPr>
      <w:r>
        <w:rPr>
          <w:rFonts w:hint="eastAsia" w:ascii="仿宋" w:hAnsi="仿宋" w:eastAsia="仿宋" w:cs="仿宋"/>
          <w:b w:val="0"/>
          <w:bCs w:val="0"/>
          <w:strike w:val="0"/>
          <w:dstrike w:val="0"/>
          <w:color w:val="auto"/>
          <w:kern w:val="0"/>
          <w:sz w:val="32"/>
          <w:szCs w:val="32"/>
          <w:lang w:val="en-US" w:eastAsia="zh-CN"/>
        </w:rPr>
        <w:drawing>
          <wp:inline distT="0" distB="0" distL="114300" distR="114300">
            <wp:extent cx="4265930" cy="2835910"/>
            <wp:effectExtent l="0" t="0" r="1270" b="2540"/>
            <wp:docPr id="41" name="图片 41" descr="80052f13f8b3aeb6118f9455cf38d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0052f13f8b3aeb6118f9455cf38de44"/>
                    <pic:cNvPicPr>
                      <a:picLocks noChangeAspect="1"/>
                    </pic:cNvPicPr>
                  </pic:nvPicPr>
                  <pic:blipFill>
                    <a:blip r:embed="rId32"/>
                    <a:stretch>
                      <a:fillRect/>
                    </a:stretch>
                  </pic:blipFill>
                  <pic:spPr>
                    <a:xfrm>
                      <a:off x="0" y="0"/>
                      <a:ext cx="4265930" cy="2835910"/>
                    </a:xfrm>
                    <a:prstGeom prst="rect">
                      <a:avLst/>
                    </a:prstGeom>
                  </pic:spPr>
                </pic:pic>
              </a:graphicData>
            </a:graphic>
          </wp:inline>
        </w:drawing>
      </w:r>
    </w:p>
    <w:p>
      <w:pPr>
        <w:pStyle w:val="31"/>
        <w:bidi w:val="0"/>
        <w:rPr>
          <w:rFonts w:hint="eastAsia"/>
          <w:lang w:val="en-US" w:eastAsia="zh-CN"/>
        </w:rPr>
      </w:pPr>
      <w:bookmarkStart w:id="101" w:name="_Toc3514"/>
      <w:r>
        <w:rPr>
          <w:rFonts w:hint="eastAsia"/>
          <w:lang w:val="en-US" w:eastAsia="zh-CN"/>
        </w:rPr>
        <w:t>图18  卫生健康学院与合作医院开展“工学交替”共同培养学生</w:t>
      </w:r>
      <w:bookmarkEnd w:id="101"/>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 w:hAnsi="仿宋" w:eastAsia="仿宋" w:cs="仿宋"/>
          <w:b w:val="0"/>
          <w:bCs w:val="0"/>
          <w:strike w:val="0"/>
          <w:dstrike w:val="0"/>
          <w:color w:val="auto"/>
          <w:kern w:val="0"/>
          <w:sz w:val="32"/>
          <w:szCs w:val="32"/>
          <w:lang w:val="en-US" w:eastAsia="zh-CN"/>
        </w:rPr>
      </w:pPr>
      <w:r>
        <w:rPr>
          <w:rFonts w:hint="eastAsia" w:ascii="仿宋" w:hAnsi="仿宋" w:eastAsia="仿宋" w:cs="仿宋"/>
          <w:b w:val="0"/>
          <w:bCs w:val="0"/>
          <w:strike w:val="0"/>
          <w:dstrike w:val="0"/>
          <w:color w:val="auto"/>
          <w:kern w:val="0"/>
          <w:sz w:val="32"/>
          <w:szCs w:val="32"/>
          <w:lang w:val="en-US" w:eastAsia="zh-CN"/>
        </w:rPr>
        <w:t>——学校经济管理学院持续与四川巴蜀好利食品有限公司、苏州知音温德姆酒店、成都花水湾豪生温泉大酒店3家企业开展订单式人才培养，与企业一道共同制定并滚动修改人才培养方案，2023年共64名学生加入到订单班，企业投入奖助学金近30余万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val="0"/>
          <w:bCs w:val="0"/>
          <w:strike w:val="0"/>
          <w:dstrike w:val="0"/>
          <w:color w:val="auto"/>
          <w:kern w:val="0"/>
          <w:sz w:val="32"/>
          <w:szCs w:val="32"/>
          <w:lang w:val="en-US" w:eastAsia="zh-CN"/>
        </w:rPr>
      </w:pPr>
      <w:r>
        <w:rPr>
          <w:rFonts w:hint="eastAsia" w:ascii="仿宋" w:hAnsi="仿宋" w:eastAsia="仿宋" w:cs="仿宋"/>
          <w:b w:val="0"/>
          <w:bCs w:val="0"/>
          <w:strike w:val="0"/>
          <w:dstrike w:val="0"/>
          <w:color w:val="auto"/>
          <w:kern w:val="0"/>
          <w:sz w:val="32"/>
          <w:szCs w:val="32"/>
          <w:lang w:val="en-US" w:eastAsia="zh-CN"/>
        </w:rPr>
        <w:drawing>
          <wp:inline distT="0" distB="0" distL="114300" distR="114300">
            <wp:extent cx="4293870" cy="2545715"/>
            <wp:effectExtent l="0" t="0" r="11430" b="6985"/>
            <wp:docPr id="32" name="图片 32" descr="D%8D0N~2%)DW)JF0CK%3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8D0N~2%)DW)JF0CK%3US6"/>
                    <pic:cNvPicPr>
                      <a:picLocks noChangeAspect="1"/>
                    </pic:cNvPicPr>
                  </pic:nvPicPr>
                  <pic:blipFill>
                    <a:blip r:embed="rId33"/>
                    <a:stretch>
                      <a:fillRect/>
                    </a:stretch>
                  </pic:blipFill>
                  <pic:spPr>
                    <a:xfrm>
                      <a:off x="0" y="0"/>
                      <a:ext cx="4293870" cy="2545715"/>
                    </a:xfrm>
                    <a:prstGeom prst="rect">
                      <a:avLst/>
                    </a:prstGeom>
                  </pic:spPr>
                </pic:pic>
              </a:graphicData>
            </a:graphic>
          </wp:inline>
        </w:drawing>
      </w:r>
    </w:p>
    <w:p>
      <w:pPr>
        <w:pStyle w:val="31"/>
        <w:bidi w:val="0"/>
        <w:rPr>
          <w:rFonts w:hint="default"/>
          <w:lang w:val="en-US" w:eastAsia="zh-CN"/>
        </w:rPr>
      </w:pPr>
      <w:bookmarkStart w:id="102" w:name="_Toc4033"/>
      <w:r>
        <w:rPr>
          <w:rFonts w:hint="eastAsia"/>
          <w:lang w:val="en-US" w:eastAsia="zh-CN"/>
        </w:rPr>
        <w:t>图19  经济管理学院与合作企业开展课程“订单式”培养</w:t>
      </w:r>
      <w:bookmarkEnd w:id="102"/>
    </w:p>
    <w:p>
      <w:pPr>
        <w:spacing w:line="240" w:lineRule="auto"/>
        <w:ind w:firstLine="640" w:firstLineChars="200"/>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学校现代农业技术学院先后与泸州三益生态农业发展有限公司、泸州欣旺动物医院有限公司、四川省茶业集团股份有限公司、合江县现代农业园区服务中心等企事业单位开展合作，成功创建了泸州市合江县现代农业园区乡村振兴高技能人才培育基地、四川省第五批粮食安全宣传教育基地。2023年邀请企业高级畜牧兽医师、高级农艺师到校开展6场专题讲座，共同培育县级高素质农民270人，组织学生参与真龙柚授粉、彩色马铃薯种植、蘑菇种植等农业生产实践1080人次。</w:t>
      </w:r>
    </w:p>
    <w:p>
      <w:pPr>
        <w:spacing w:line="240" w:lineRule="auto"/>
        <w:jc w:val="center"/>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drawing>
          <wp:inline distT="0" distB="0" distL="114300" distR="114300">
            <wp:extent cx="4376420" cy="3068955"/>
            <wp:effectExtent l="0" t="0" r="5080" b="17145"/>
            <wp:docPr id="25" name="图片 25" descr="QQ图片2023122112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1221123533"/>
                    <pic:cNvPicPr>
                      <a:picLocks noChangeAspect="1"/>
                    </pic:cNvPicPr>
                  </pic:nvPicPr>
                  <pic:blipFill>
                    <a:blip r:embed="rId34"/>
                    <a:stretch>
                      <a:fillRect/>
                    </a:stretch>
                  </pic:blipFill>
                  <pic:spPr>
                    <a:xfrm>
                      <a:off x="0" y="0"/>
                      <a:ext cx="4376420" cy="3068955"/>
                    </a:xfrm>
                    <a:prstGeom prst="rect">
                      <a:avLst/>
                    </a:prstGeom>
                  </pic:spPr>
                </pic:pic>
              </a:graphicData>
            </a:graphic>
          </wp:inline>
        </w:drawing>
      </w:r>
    </w:p>
    <w:p>
      <w:pPr>
        <w:pStyle w:val="31"/>
        <w:bidi w:val="0"/>
        <w:rPr>
          <w:rFonts w:hint="default"/>
          <w:lang w:val="en-US" w:eastAsia="zh-CN"/>
        </w:rPr>
      </w:pPr>
      <w:bookmarkStart w:id="103" w:name="_Toc29240"/>
      <w:r>
        <w:rPr>
          <w:rFonts w:hint="eastAsia"/>
          <w:lang w:val="en-US" w:eastAsia="zh-CN"/>
        </w:rPr>
        <w:t>图20  现代农业技术学院与合作单位开展学生专项技能实践</w:t>
      </w:r>
      <w:bookmarkEnd w:id="103"/>
    </w:p>
    <w:p>
      <w:pPr>
        <w:spacing w:line="240" w:lineRule="auto"/>
        <w:ind w:firstLine="640" w:firstLineChars="200"/>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学校工程技术学院工程技术学院持续与旭硕科技（重庆）有限公司依托现代学徒制试点项目，探索电子信息工程技术专业“任务⇌中心⇌工岗”现代学徒制人才培养模式。专业围绕工岗任务构建“一主线、三能融合”的课程体系，协同搭建校企互补的实践中心，校企双方共同制定人培方案、岗位考核标准、共同实施教学，三阶段工学交替的岗位实践形成特色。2023年，21级、22级电信专业现代学徒制分别召开了阶段性实习总结会。与深圳市嘉立创科技发展有限公司联合开展《电子电路制图》课程改革实践，为电信专业60人PCB项目设计提供了支持。依托泸州市智能机电控制工程技术研究中心、泸州市李凌林铣工技能大师工作室、四川省高技能人才培训基地等平台条件，开展泸州市社区矫正人员培训31人，完成中级工培训323人，高级工培训358人。</w:t>
      </w:r>
    </w:p>
    <w:p>
      <w:pPr>
        <w:spacing w:line="24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drawing>
          <wp:inline distT="0" distB="0" distL="0" distR="0">
            <wp:extent cx="3825875" cy="2332990"/>
            <wp:effectExtent l="0" t="0" r="3175"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a:stretch>
                      <a:fillRect/>
                    </a:stretch>
                  </pic:blipFill>
                  <pic:spPr>
                    <a:xfrm>
                      <a:off x="0" y="0"/>
                      <a:ext cx="3825875" cy="2332990"/>
                    </a:xfrm>
                    <a:prstGeom prst="rect">
                      <a:avLst/>
                    </a:prstGeom>
                  </pic:spPr>
                </pic:pic>
              </a:graphicData>
            </a:graphic>
          </wp:inline>
        </w:drawing>
      </w:r>
    </w:p>
    <w:p>
      <w:pPr>
        <w:pStyle w:val="31"/>
        <w:bidi w:val="0"/>
        <w:rPr>
          <w:rFonts w:hint="eastAsia"/>
          <w:lang w:val="en-US" w:eastAsia="zh-CN"/>
        </w:rPr>
      </w:pPr>
      <w:bookmarkStart w:id="104" w:name="_Toc18015"/>
      <w:r>
        <w:rPr>
          <w:rFonts w:hint="eastAsia"/>
          <w:lang w:val="en-US" w:eastAsia="zh-CN"/>
        </w:rPr>
        <w:t>图21  工程技术学院现代学徒制试点班级开展总结表彰会</w:t>
      </w:r>
      <w:bookmarkEnd w:id="104"/>
    </w:p>
    <w:p>
      <w:pPr>
        <w:spacing w:line="240" w:lineRule="auto"/>
        <w:ind w:firstLine="640" w:firstLineChars="200"/>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学校学前教育学院与合江县第一幼儿园、合江县第二幼儿园、合江县自强幼儿园、合江县快乐阶梯幼儿园、三河学院附属幼儿园等建立了深度的园校合作。2023年，学前教育学院与合作园所建立“双导师制”，校外导师进入班级进行分享与指导4次，合作园所接收教师实践研修25人，园校合作共同开发教材《幼儿美术》，园校合作共同参加四川省教师教学能力大赛（二等奖），合作园所接收学校学生参加教育研习430人次，参加教育见习1300余人次。</w:t>
      </w:r>
    </w:p>
    <w:p>
      <w:pPr>
        <w:spacing w:line="240" w:lineRule="auto"/>
        <w:jc w:val="center"/>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drawing>
          <wp:inline distT="0" distB="0" distL="114300" distR="114300">
            <wp:extent cx="3810635" cy="2591435"/>
            <wp:effectExtent l="0" t="0" r="18415" b="18415"/>
            <wp:docPr id="40" name="图片 40" descr="EQGOPACL~Z)RNXIWND8I4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QGOPACL~Z)RNXIWND8I4VW"/>
                    <pic:cNvPicPr>
                      <a:picLocks noChangeAspect="1"/>
                    </pic:cNvPicPr>
                  </pic:nvPicPr>
                  <pic:blipFill>
                    <a:blip r:embed="rId36"/>
                    <a:stretch>
                      <a:fillRect/>
                    </a:stretch>
                  </pic:blipFill>
                  <pic:spPr>
                    <a:xfrm>
                      <a:off x="0" y="0"/>
                      <a:ext cx="3810635" cy="2591435"/>
                    </a:xfrm>
                    <a:prstGeom prst="rect">
                      <a:avLst/>
                    </a:prstGeom>
                  </pic:spPr>
                </pic:pic>
              </a:graphicData>
            </a:graphic>
          </wp:inline>
        </w:drawing>
      </w:r>
    </w:p>
    <w:p>
      <w:pPr>
        <w:pStyle w:val="31"/>
        <w:bidi w:val="0"/>
        <w:rPr>
          <w:rFonts w:hint="eastAsia"/>
          <w:lang w:val="en-US" w:eastAsia="zh-CN"/>
        </w:rPr>
      </w:pPr>
      <w:bookmarkStart w:id="105" w:name="_Toc30642"/>
      <w:r>
        <w:rPr>
          <w:rFonts w:hint="eastAsia"/>
          <w:lang w:val="en-US" w:eastAsia="zh-CN"/>
        </w:rPr>
        <w:t>图22  学前教育学院学生到幼儿园开展见习研习</w:t>
      </w:r>
      <w:bookmarkEnd w:id="105"/>
    </w:p>
    <w:p>
      <w:pPr>
        <w:spacing w:line="240" w:lineRule="auto"/>
        <w:ind w:firstLine="640" w:firstLineChars="200"/>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学校建筑工程学院与四川建设集团石油工程有限公司、合江茗乾建设工程管理有限公司、泸州城市人家装饰工程有限公司、四川民安测绘服务有限公司、重庆津北建筑工程有限公司、合江县建筑业协会等企事业单位开展合作。2023年邀请企业工匠到校开展2场专题讲座，校企共同修订2023级人才培养方案，合作企业接受实习学生86人，与合江县住建局共同开展住建领域施工现场专业人员185人次的培训，取证103人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val="en-US" w:eastAsia="zh-CN"/>
        </w:rPr>
      </w:pPr>
      <w:bookmarkStart w:id="106" w:name="_Toc1527"/>
      <w:r>
        <w:rPr>
          <w:rFonts w:hint="eastAsia" w:ascii="仿宋" w:hAnsi="仿宋" w:eastAsia="仿宋" w:cs="仿宋"/>
          <w:b/>
          <w:bCs/>
          <w:color w:val="auto"/>
          <w:sz w:val="32"/>
          <w:szCs w:val="32"/>
          <w:lang w:val="en-US" w:eastAsia="zh-CN"/>
        </w:rPr>
        <w:t>六、服务贡献</w:t>
      </w:r>
      <w:bookmarkEnd w:id="106"/>
    </w:p>
    <w:p>
      <w:pPr>
        <w:pStyle w:val="29"/>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textAlignment w:val="auto"/>
        <w:outlineLvl w:val="1"/>
        <w:rPr>
          <w:rFonts w:hint="eastAsia" w:ascii="仿宋" w:hAnsi="仿宋" w:eastAsia="仿宋" w:cs="仿宋"/>
          <w:b/>
          <w:bCs/>
          <w:strike w:val="0"/>
          <w:dstrike w:val="0"/>
          <w:color w:val="auto"/>
          <w:kern w:val="0"/>
          <w:sz w:val="32"/>
          <w:szCs w:val="32"/>
          <w:lang w:val="en-US" w:eastAsia="zh-CN" w:bidi="ar-SA"/>
        </w:rPr>
      </w:pPr>
      <w:bookmarkStart w:id="107" w:name="_Toc15314"/>
      <w:r>
        <w:rPr>
          <w:rFonts w:hint="eastAsia" w:ascii="仿宋" w:hAnsi="仿宋" w:eastAsia="仿宋" w:cs="仿宋"/>
          <w:b/>
          <w:bCs/>
          <w:strike w:val="0"/>
          <w:dstrike w:val="0"/>
          <w:color w:val="auto"/>
          <w:kern w:val="0"/>
          <w:sz w:val="32"/>
          <w:szCs w:val="32"/>
          <w:lang w:val="en-US" w:eastAsia="zh-CN" w:bidi="ar-SA"/>
        </w:rPr>
        <w:t>（一）服务行业企业</w:t>
      </w:r>
      <w:bookmarkEnd w:id="107"/>
    </w:p>
    <w:p>
      <w:pPr>
        <w:numPr>
          <w:ilvl w:val="0"/>
          <w:numId w:val="0"/>
        </w:numPr>
        <w:spacing w:line="240" w:lineRule="auto"/>
        <w:ind w:left="603" w:leftChars="0"/>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1.高技能人才培训</w:t>
      </w:r>
    </w:p>
    <w:p>
      <w:pPr>
        <w:spacing w:line="240" w:lineRule="auto"/>
        <w:ind w:firstLine="640" w:firstLineChars="200"/>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依托本校省级高技能人才培训基地，持续培养高技能人才，为我省产业转型升级和经济社会发展提供人才支撑。2023年，先后开展高级育婴员、保育师、数控车床、电工、汽车维修工等职业培训，累计培训高技能人才1199人。</w:t>
      </w:r>
    </w:p>
    <w:p>
      <w:pPr>
        <w:keepNext w:val="0"/>
        <w:keepLines w:val="0"/>
        <w:pageBreakBefore w:val="0"/>
        <w:kinsoku/>
        <w:wordWrap/>
        <w:overflowPunct/>
        <w:topLinePunct w:val="0"/>
        <w:autoSpaceDE/>
        <w:autoSpaceDN/>
        <w:bidi w:val="0"/>
        <w:adjustRightInd/>
        <w:spacing w:line="240" w:lineRule="auto"/>
        <w:ind w:firstLine="643" w:firstLineChars="200"/>
        <w:textAlignment w:val="auto"/>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2.养老机构从业人员培训</w:t>
      </w:r>
    </w:p>
    <w:p>
      <w:pPr>
        <w:spacing w:line="240" w:lineRule="auto"/>
        <w:ind w:firstLine="640" w:firstLineChars="200"/>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合江县民政局委托，开展合江县养老机构从业人员培训，对全县养老机构法人代表、院内管理人员、院民代表等64名人员开展了养老服务机构安全管理培训，助其有效提高养老机构管理服务水平，让入住老人拥有更多的获得感、幸福感、安全感。</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strike w:val="0"/>
          <w:dstrike w:val="0"/>
          <w:color w:val="auto"/>
          <w:kern w:val="0"/>
          <w:sz w:val="32"/>
          <w:szCs w:val="32"/>
          <w:lang w:val="en-US" w:eastAsia="zh-CN" w:bidi="ar-SA"/>
        </w:rPr>
      </w:pPr>
      <w:bookmarkStart w:id="108" w:name="_Toc18396"/>
      <w:r>
        <w:rPr>
          <w:rFonts w:hint="eastAsia" w:ascii="仿宋" w:hAnsi="仿宋" w:eastAsia="仿宋" w:cs="仿宋"/>
          <w:b/>
          <w:bCs/>
          <w:strike w:val="0"/>
          <w:dstrike w:val="0"/>
          <w:color w:val="auto"/>
          <w:kern w:val="0"/>
          <w:sz w:val="32"/>
          <w:szCs w:val="32"/>
          <w:lang w:val="en-US" w:eastAsia="zh-CN" w:bidi="ar-SA"/>
        </w:rPr>
        <w:t>（二）服务地方发展</w:t>
      </w:r>
      <w:bookmarkEnd w:id="108"/>
    </w:p>
    <w:p>
      <w:pPr>
        <w:spacing w:line="240" w:lineRule="auto"/>
        <w:ind w:firstLine="643" w:firstLineChars="200"/>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1.劳务品牌培训</w:t>
      </w:r>
    </w:p>
    <w:p>
      <w:pPr>
        <w:keepNext w:val="0"/>
        <w:keepLines w:val="0"/>
        <w:pageBreakBefore w:val="0"/>
        <w:widowControl/>
        <w:numPr>
          <w:ilvl w:val="0"/>
          <w:numId w:val="0"/>
        </w:numPr>
        <w:kinsoku/>
        <w:wordWrap/>
        <w:overflowPunct/>
        <w:topLinePunct w:val="0"/>
        <w:autoSpaceDE/>
        <w:autoSpaceDN/>
        <w:bidi w:val="0"/>
        <w:spacing w:line="240" w:lineRule="auto"/>
        <w:ind w:firstLine="640" w:firstLineChars="200"/>
        <w:textAlignment w:val="auto"/>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学校受合江县人社局委托，于2023年9月至11月期间，先后开展了四期劳务品牌培训，培训专业老年护理135名，全部学员参加专项能力考核鉴定并获得专项职业能力证书。</w:t>
      </w:r>
    </w:p>
    <w:p>
      <w:pPr>
        <w:pStyle w:val="29"/>
        <w:spacing w:line="240" w:lineRule="auto"/>
        <w:ind w:left="0" w:leftChars="0" w:firstLine="0" w:firstLineChars="0"/>
        <w:jc w:val="center"/>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610485" cy="2032000"/>
            <wp:effectExtent l="0" t="0" r="18415" b="6350"/>
            <wp:docPr id="26" name="图片 26" descr="IMG_20230925_13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30925_133508"/>
                    <pic:cNvPicPr>
                      <a:picLocks noChangeAspect="1"/>
                    </pic:cNvPicPr>
                  </pic:nvPicPr>
                  <pic:blipFill>
                    <a:blip r:embed="rId37"/>
                    <a:stretch>
                      <a:fillRect/>
                    </a:stretch>
                  </pic:blipFill>
                  <pic:spPr>
                    <a:xfrm>
                      <a:off x="0" y="0"/>
                      <a:ext cx="2610485" cy="2032000"/>
                    </a:xfrm>
                    <a:prstGeom prst="rect">
                      <a:avLst/>
                    </a:prstGeom>
                  </pic:spPr>
                </pic:pic>
              </a:graphicData>
            </a:graphic>
          </wp:inline>
        </w:drawing>
      </w:r>
      <w:r>
        <w:rPr>
          <w:rFonts w:hint="eastAsia" w:ascii="仿宋" w:hAnsi="仿宋" w:eastAsia="仿宋" w:cs="仿宋"/>
          <w:b w:val="0"/>
          <w:bCs w:val="0"/>
          <w:strike w:val="0"/>
          <w:dstrike w:val="0"/>
          <w:color w:val="auto"/>
          <w:kern w:val="0"/>
          <w:sz w:val="11"/>
          <w:szCs w:val="11"/>
          <w:lang w:val="en-US" w:eastAsia="zh-CN" w:bidi="ar-SA"/>
        </w:rPr>
        <w:t xml:space="preserve"> </w:t>
      </w: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564765" cy="2037715"/>
            <wp:effectExtent l="0" t="0" r="6985" b="635"/>
            <wp:docPr id="27" name="图片 27" descr="IMG_20230922_1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30922_112053"/>
                    <pic:cNvPicPr>
                      <a:picLocks noChangeAspect="1"/>
                    </pic:cNvPicPr>
                  </pic:nvPicPr>
                  <pic:blipFill>
                    <a:blip r:embed="rId38"/>
                    <a:stretch>
                      <a:fillRect/>
                    </a:stretch>
                  </pic:blipFill>
                  <pic:spPr>
                    <a:xfrm>
                      <a:off x="0" y="0"/>
                      <a:ext cx="2564765" cy="2037715"/>
                    </a:xfrm>
                    <a:prstGeom prst="rect">
                      <a:avLst/>
                    </a:prstGeom>
                  </pic:spPr>
                </pic:pic>
              </a:graphicData>
            </a:graphic>
          </wp:inline>
        </w:drawing>
      </w:r>
    </w:p>
    <w:p>
      <w:pPr>
        <w:pStyle w:val="31"/>
        <w:bidi w:val="0"/>
        <w:rPr>
          <w:rFonts w:hint="eastAsia"/>
          <w:lang w:val="en-US" w:eastAsia="zh-CN"/>
        </w:rPr>
      </w:pPr>
      <w:bookmarkStart w:id="109" w:name="_Toc14610"/>
      <w:r>
        <w:rPr>
          <w:rFonts w:hint="eastAsia"/>
          <w:lang w:val="en-US" w:eastAsia="zh-CN"/>
        </w:rPr>
        <w:t>图23  学校开展劳务品牌培训</w:t>
      </w:r>
      <w:bookmarkEnd w:id="109"/>
    </w:p>
    <w:p>
      <w:pPr>
        <w:spacing w:line="240" w:lineRule="auto"/>
        <w:ind w:firstLine="643" w:firstLineChars="200"/>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2.村社干部培训</w:t>
      </w:r>
    </w:p>
    <w:p>
      <w:pPr>
        <w:spacing w:line="240" w:lineRule="auto"/>
        <w:ind w:firstLine="640" w:firstLineChars="200"/>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学校受合江县组织部委托，于2023年4月至7月期间，先后开展5期村社干部培训。来自27个村社党组织书记、副书记、村委主任、监委主任、村文书等632人参加了培训。</w:t>
      </w:r>
    </w:p>
    <w:p>
      <w:pPr>
        <w:spacing w:line="240" w:lineRule="auto"/>
        <w:jc w:val="both"/>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570480" cy="2044065"/>
            <wp:effectExtent l="0" t="0" r="1270" b="13335"/>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39"/>
                    <a:stretch>
                      <a:fillRect/>
                    </a:stretch>
                  </pic:blipFill>
                  <pic:spPr>
                    <a:xfrm>
                      <a:off x="0" y="0"/>
                      <a:ext cx="2570480" cy="2044065"/>
                    </a:xfrm>
                    <a:prstGeom prst="rect">
                      <a:avLst/>
                    </a:prstGeom>
                  </pic:spPr>
                </pic:pic>
              </a:graphicData>
            </a:graphic>
          </wp:inline>
        </w:drawing>
      </w:r>
      <w:r>
        <w:rPr>
          <w:rFonts w:hint="eastAsia" w:ascii="仿宋" w:hAnsi="仿宋" w:eastAsia="仿宋" w:cs="仿宋"/>
          <w:b w:val="0"/>
          <w:bCs w:val="0"/>
          <w:strike w:val="0"/>
          <w:dstrike w:val="0"/>
          <w:color w:val="auto"/>
          <w:kern w:val="0"/>
          <w:sz w:val="11"/>
          <w:szCs w:val="11"/>
          <w:lang w:val="en-US" w:eastAsia="zh-CN" w:bidi="ar-SA"/>
        </w:rPr>
        <w:t xml:space="preserve"> </w:t>
      </w: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607945" cy="2056130"/>
            <wp:effectExtent l="0" t="0" r="1905" b="127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40"/>
                    <a:stretch>
                      <a:fillRect/>
                    </a:stretch>
                  </pic:blipFill>
                  <pic:spPr>
                    <a:xfrm>
                      <a:off x="0" y="0"/>
                      <a:ext cx="2607945" cy="2056130"/>
                    </a:xfrm>
                    <a:prstGeom prst="rect">
                      <a:avLst/>
                    </a:prstGeom>
                  </pic:spPr>
                </pic:pic>
              </a:graphicData>
            </a:graphic>
          </wp:inline>
        </w:drawing>
      </w:r>
    </w:p>
    <w:p>
      <w:pPr>
        <w:pStyle w:val="31"/>
        <w:bidi w:val="0"/>
        <w:rPr>
          <w:rFonts w:hint="eastAsia"/>
          <w:lang w:val="en-US" w:eastAsia="zh-CN"/>
        </w:rPr>
      </w:pPr>
      <w:bookmarkStart w:id="110" w:name="_Toc6361"/>
      <w:r>
        <w:rPr>
          <w:rFonts w:hint="eastAsia"/>
          <w:lang w:val="en-US" w:eastAsia="zh-CN"/>
        </w:rPr>
        <w:t>图24 学校开展村社干部培训</w:t>
      </w:r>
      <w:bookmarkEnd w:id="110"/>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strike w:val="0"/>
          <w:dstrike w:val="0"/>
          <w:color w:val="auto"/>
          <w:kern w:val="0"/>
          <w:sz w:val="32"/>
          <w:szCs w:val="32"/>
          <w:lang w:val="en-US" w:eastAsia="zh-CN" w:bidi="ar-SA"/>
        </w:rPr>
      </w:pPr>
      <w:bookmarkStart w:id="111" w:name="_Toc12125"/>
      <w:r>
        <w:rPr>
          <w:rFonts w:hint="eastAsia" w:ascii="仿宋" w:hAnsi="仿宋" w:eastAsia="仿宋" w:cs="仿宋"/>
          <w:b/>
          <w:bCs/>
          <w:strike w:val="0"/>
          <w:dstrike w:val="0"/>
          <w:color w:val="auto"/>
          <w:kern w:val="0"/>
          <w:sz w:val="32"/>
          <w:szCs w:val="32"/>
          <w:lang w:val="en-US" w:eastAsia="zh-CN" w:bidi="ar-SA"/>
        </w:rPr>
        <w:t>（三）服务地方社区</w:t>
      </w:r>
      <w:bookmarkEnd w:id="111"/>
    </w:p>
    <w:p>
      <w:pPr>
        <w:keepNext w:val="0"/>
        <w:keepLines w:val="0"/>
        <w:pageBreakBefore w:val="0"/>
        <w:numPr>
          <w:ilvl w:val="0"/>
          <w:numId w:val="0"/>
        </w:numPr>
        <w:kinsoku/>
        <w:wordWrap/>
        <w:overflowPunct/>
        <w:topLinePunct w:val="0"/>
        <w:autoSpaceDE/>
        <w:autoSpaceDN/>
        <w:bidi w:val="0"/>
        <w:adjustRightInd/>
        <w:spacing w:line="240" w:lineRule="auto"/>
        <w:ind w:left="603" w:leftChars="0"/>
        <w:textAlignment w:val="auto"/>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1.社区矫正人员培训</w:t>
      </w:r>
    </w:p>
    <w:p>
      <w:pPr>
        <w:spacing w:line="240" w:lineRule="auto"/>
        <w:ind w:firstLine="640" w:firstLineChars="200"/>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泸州市司法局委托，于2023月5月29日至6月2日期间，对50名社区矫正对象和强制隔离戒毒人开展了泸州市“黄丝带•同心帮教”职业技能培训，培训内容包括专业技能、心理健康、安全教育等方面，帮助他们为往后的就业打下了基础。</w:t>
      </w:r>
    </w:p>
    <w:p>
      <w:pPr>
        <w:pStyle w:val="29"/>
        <w:spacing w:line="240" w:lineRule="auto"/>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505710" cy="1988820"/>
            <wp:effectExtent l="0" t="0" r="8890" b="11430"/>
            <wp:docPr id="3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60"/>
                    <pic:cNvPicPr>
                      <a:picLocks noChangeAspect="1"/>
                    </pic:cNvPicPr>
                  </pic:nvPicPr>
                  <pic:blipFill>
                    <a:blip r:embed="rId41"/>
                    <a:stretch>
                      <a:fillRect/>
                    </a:stretch>
                  </pic:blipFill>
                  <pic:spPr>
                    <a:xfrm>
                      <a:off x="0" y="0"/>
                      <a:ext cx="2505710" cy="1988820"/>
                    </a:xfrm>
                    <a:prstGeom prst="rect">
                      <a:avLst/>
                    </a:prstGeom>
                    <a:noFill/>
                    <a:ln w="9525">
                      <a:noFill/>
                    </a:ln>
                  </pic:spPr>
                </pic:pic>
              </a:graphicData>
            </a:graphic>
          </wp:inline>
        </w:drawing>
      </w:r>
      <w:r>
        <w:rPr>
          <w:rFonts w:hint="eastAsia" w:ascii="仿宋" w:hAnsi="仿宋" w:eastAsia="仿宋" w:cs="仿宋"/>
          <w:b w:val="0"/>
          <w:bCs w:val="0"/>
          <w:strike w:val="0"/>
          <w:dstrike w:val="0"/>
          <w:color w:val="auto"/>
          <w:kern w:val="0"/>
          <w:sz w:val="11"/>
          <w:szCs w:val="11"/>
          <w:lang w:val="en-US" w:eastAsia="zh-CN" w:bidi="ar-SA"/>
        </w:rPr>
        <w:t xml:space="preserve"> </w:t>
      </w: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440940" cy="1990725"/>
            <wp:effectExtent l="0" t="0" r="16510" b="9525"/>
            <wp:docPr id="31" name="图片 31" descr="2aae8c5fa013200169104c67fb1a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aae8c5fa013200169104c67fb1a4b2"/>
                    <pic:cNvPicPr>
                      <a:picLocks noChangeAspect="1"/>
                    </pic:cNvPicPr>
                  </pic:nvPicPr>
                  <pic:blipFill>
                    <a:blip r:embed="rId42"/>
                    <a:stretch>
                      <a:fillRect/>
                    </a:stretch>
                  </pic:blipFill>
                  <pic:spPr>
                    <a:xfrm>
                      <a:off x="0" y="0"/>
                      <a:ext cx="2440940" cy="1990725"/>
                    </a:xfrm>
                    <a:prstGeom prst="rect">
                      <a:avLst/>
                    </a:prstGeom>
                  </pic:spPr>
                </pic:pic>
              </a:graphicData>
            </a:graphic>
          </wp:inline>
        </w:drawing>
      </w:r>
    </w:p>
    <w:p>
      <w:pPr>
        <w:pStyle w:val="31"/>
        <w:bidi w:val="0"/>
        <w:rPr>
          <w:rFonts w:hint="eastAsia"/>
          <w:lang w:val="en-US" w:eastAsia="zh-CN"/>
        </w:rPr>
      </w:pPr>
      <w:bookmarkStart w:id="112" w:name="_Toc25088"/>
      <w:r>
        <w:rPr>
          <w:rFonts w:hint="eastAsia"/>
          <w:lang w:val="en-US" w:eastAsia="zh-CN"/>
        </w:rPr>
        <w:t>图25  学校对社区矫正人员开展职业技能培训</w:t>
      </w:r>
      <w:bookmarkEnd w:id="112"/>
    </w:p>
    <w:p>
      <w:pPr>
        <w:spacing w:line="240" w:lineRule="auto"/>
        <w:ind w:firstLine="643" w:firstLineChars="200"/>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2.退役士兵适应性培训</w:t>
      </w:r>
    </w:p>
    <w:p>
      <w:pPr>
        <w:keepNext w:val="0"/>
        <w:keepLines w:val="0"/>
        <w:pageBreakBefore w:val="0"/>
        <w:widowControl/>
        <w:numPr>
          <w:ilvl w:val="0"/>
          <w:numId w:val="0"/>
        </w:numPr>
        <w:kinsoku/>
        <w:wordWrap/>
        <w:overflowPunct/>
        <w:topLinePunct w:val="0"/>
        <w:autoSpaceDE/>
        <w:autoSpaceDN/>
        <w:bidi w:val="0"/>
        <w:spacing w:line="240" w:lineRule="auto"/>
        <w:ind w:firstLine="640" w:firstLineChars="200"/>
        <w:textAlignment w:val="auto"/>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合江县退役军人事务局委托，于2023年10月24日-10月26日举办了合江县退役士兵适应性培训，61人参加培训，帮助他们进一步坚定理想信念、牢记军人本色、了解地方就业形势、补齐自身短板、提升能力素质，实现由部队建设的主力军向地方发展的生力军的顺利转变，以便更快更好地服务地方经济社会发展。</w:t>
      </w:r>
    </w:p>
    <w:p>
      <w:pPr>
        <w:pStyle w:val="29"/>
        <w:spacing w:line="240" w:lineRule="auto"/>
        <w:ind w:left="0" w:leftChars="0" w:firstLine="0" w:firstLineChars="0"/>
        <w:jc w:val="center"/>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353310" cy="1765300"/>
            <wp:effectExtent l="0" t="0" r="8890" b="6350"/>
            <wp:docPr id="33" name="图片 33" descr="IMG2023102409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20231024094251"/>
                    <pic:cNvPicPr>
                      <a:picLocks noChangeAspect="1"/>
                    </pic:cNvPicPr>
                  </pic:nvPicPr>
                  <pic:blipFill>
                    <a:blip r:embed="rId43"/>
                    <a:stretch>
                      <a:fillRect/>
                    </a:stretch>
                  </pic:blipFill>
                  <pic:spPr>
                    <a:xfrm>
                      <a:off x="0" y="0"/>
                      <a:ext cx="2353310" cy="1765300"/>
                    </a:xfrm>
                    <a:prstGeom prst="rect">
                      <a:avLst/>
                    </a:prstGeom>
                  </pic:spPr>
                </pic:pic>
              </a:graphicData>
            </a:graphic>
          </wp:inline>
        </w:drawing>
      </w:r>
      <w:r>
        <w:rPr>
          <w:rFonts w:hint="eastAsia" w:ascii="仿宋" w:hAnsi="仿宋" w:eastAsia="仿宋" w:cs="仿宋"/>
          <w:b w:val="0"/>
          <w:bCs w:val="0"/>
          <w:strike w:val="0"/>
          <w:dstrike w:val="0"/>
          <w:color w:val="auto"/>
          <w:kern w:val="0"/>
          <w:sz w:val="11"/>
          <w:szCs w:val="11"/>
          <w:lang w:val="en-US" w:eastAsia="zh-CN" w:bidi="ar-SA"/>
        </w:rPr>
        <w:t xml:space="preserve"> </w:t>
      </w:r>
      <w:r>
        <w:rPr>
          <w:rFonts w:hint="eastAsia" w:eastAsia="仿宋_GB2312"/>
          <w:color w:val="auto"/>
          <w:lang w:eastAsia="zh-CN"/>
        </w:rPr>
        <w:drawing>
          <wp:inline distT="0" distB="0" distL="114300" distR="114300">
            <wp:extent cx="2303780" cy="1759585"/>
            <wp:effectExtent l="0" t="0" r="1270" b="12065"/>
            <wp:docPr id="38" name="图片 2" descr="Image_169833113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age_1698331133982"/>
                    <pic:cNvPicPr>
                      <a:picLocks noChangeAspect="1"/>
                    </pic:cNvPicPr>
                  </pic:nvPicPr>
                  <pic:blipFill>
                    <a:blip r:embed="rId44"/>
                    <a:stretch>
                      <a:fillRect/>
                    </a:stretch>
                  </pic:blipFill>
                  <pic:spPr>
                    <a:xfrm>
                      <a:off x="0" y="0"/>
                      <a:ext cx="2303780" cy="1759585"/>
                    </a:xfrm>
                    <a:prstGeom prst="rect">
                      <a:avLst/>
                    </a:prstGeom>
                    <a:noFill/>
                    <a:ln>
                      <a:noFill/>
                    </a:ln>
                  </pic:spPr>
                </pic:pic>
              </a:graphicData>
            </a:graphic>
          </wp:inline>
        </w:drawing>
      </w:r>
    </w:p>
    <w:p>
      <w:pPr>
        <w:pStyle w:val="31"/>
        <w:bidi w:val="0"/>
        <w:rPr>
          <w:rFonts w:hint="eastAsia"/>
          <w:lang w:val="en-US" w:eastAsia="zh-CN"/>
        </w:rPr>
      </w:pPr>
      <w:bookmarkStart w:id="113" w:name="_Toc4235"/>
      <w:r>
        <w:rPr>
          <w:rFonts w:hint="eastAsia"/>
          <w:lang w:val="en-US" w:eastAsia="zh-CN"/>
        </w:rPr>
        <w:t>图26  学校开展自主就业退役士兵适应性培训</w:t>
      </w:r>
      <w:bookmarkEnd w:id="113"/>
    </w:p>
    <w:p>
      <w:pPr>
        <w:pStyle w:val="29"/>
        <w:keepNext w:val="0"/>
        <w:keepLines w:val="0"/>
        <w:pageBreakBefore w:val="0"/>
        <w:widowControl w:val="0"/>
        <w:kinsoku/>
        <w:wordWrap/>
        <w:overflowPunct/>
        <w:topLinePunct w:val="0"/>
        <w:autoSpaceDE/>
        <w:autoSpaceDN/>
        <w:bidi w:val="0"/>
        <w:adjustRightInd/>
        <w:snapToGrid/>
        <w:spacing w:line="240" w:lineRule="auto"/>
        <w:ind w:left="0" w:leftChars="0" w:firstLine="643" w:firstLineChars="200"/>
        <w:textAlignment w:val="auto"/>
        <w:outlineLvl w:val="1"/>
        <w:rPr>
          <w:rFonts w:hint="eastAsia" w:ascii="仿宋" w:hAnsi="仿宋" w:eastAsia="仿宋" w:cs="仿宋"/>
          <w:b/>
          <w:bCs/>
          <w:strike w:val="0"/>
          <w:dstrike w:val="0"/>
          <w:color w:val="auto"/>
          <w:kern w:val="0"/>
          <w:sz w:val="32"/>
          <w:szCs w:val="32"/>
          <w:lang w:val="en-US" w:eastAsia="zh-CN" w:bidi="ar-SA"/>
        </w:rPr>
      </w:pPr>
      <w:bookmarkStart w:id="114" w:name="_Toc22696"/>
      <w:r>
        <w:rPr>
          <w:rFonts w:hint="eastAsia" w:ascii="仿宋" w:hAnsi="仿宋" w:eastAsia="仿宋" w:cs="仿宋"/>
          <w:b/>
          <w:bCs/>
          <w:strike w:val="0"/>
          <w:dstrike w:val="0"/>
          <w:color w:val="auto"/>
          <w:kern w:val="0"/>
          <w:sz w:val="32"/>
          <w:szCs w:val="32"/>
          <w:lang w:val="en-US" w:eastAsia="zh-CN" w:bidi="ar-SA"/>
        </w:rPr>
        <w:t>（四）服务乡村振兴</w:t>
      </w:r>
      <w:bookmarkEnd w:id="114"/>
    </w:p>
    <w:p>
      <w:pPr>
        <w:spacing w:line="240" w:lineRule="auto"/>
        <w:ind w:firstLine="643" w:firstLineChars="200"/>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1.基层农技人员知识培训</w:t>
      </w:r>
    </w:p>
    <w:p>
      <w:pPr>
        <w:spacing w:line="240" w:lineRule="auto"/>
        <w:ind w:firstLine="640" w:firstLineChars="200"/>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学校受江阳区农业局委托，于2022年10月17日至26日期间，先后开展了2期基层农技推广人员培训，来自江阳区农业农村局和基层乡镇农技服务中心的78名学员参加了培训。</w:t>
      </w:r>
    </w:p>
    <w:p>
      <w:pPr>
        <w:pStyle w:val="29"/>
        <w:spacing w:line="240" w:lineRule="auto"/>
        <w:ind w:left="0" w:leftChars="0" w:firstLine="0" w:firstLineChars="0"/>
        <w:jc w:val="center"/>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509520" cy="1882775"/>
            <wp:effectExtent l="0" t="0" r="5080" b="3175"/>
            <wp:docPr id="34" name="图片 3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3"/>
                    <pic:cNvPicPr>
                      <a:picLocks noChangeAspect="1"/>
                    </pic:cNvPicPr>
                  </pic:nvPicPr>
                  <pic:blipFill>
                    <a:blip r:embed="rId45"/>
                    <a:stretch>
                      <a:fillRect/>
                    </a:stretch>
                  </pic:blipFill>
                  <pic:spPr>
                    <a:xfrm>
                      <a:off x="0" y="0"/>
                      <a:ext cx="2509520" cy="1882775"/>
                    </a:xfrm>
                    <a:prstGeom prst="rect">
                      <a:avLst/>
                    </a:prstGeom>
                  </pic:spPr>
                </pic:pic>
              </a:graphicData>
            </a:graphic>
          </wp:inline>
        </w:drawing>
      </w:r>
      <w:r>
        <w:rPr>
          <w:rFonts w:hint="eastAsia" w:ascii="仿宋" w:hAnsi="仿宋" w:eastAsia="仿宋" w:cs="仿宋"/>
          <w:b w:val="0"/>
          <w:bCs w:val="0"/>
          <w:strike w:val="0"/>
          <w:dstrike w:val="0"/>
          <w:color w:val="auto"/>
          <w:kern w:val="0"/>
          <w:sz w:val="11"/>
          <w:szCs w:val="11"/>
          <w:lang w:val="en-US" w:eastAsia="zh-CN" w:bidi="ar-SA"/>
        </w:rPr>
        <w:t xml:space="preserve"> </w:t>
      </w:r>
      <w:r>
        <w:rPr>
          <w:rFonts w:hint="eastAsia" w:ascii="仿宋" w:hAnsi="仿宋" w:eastAsia="仿宋" w:cs="仿宋"/>
          <w:b w:val="0"/>
          <w:bCs w:val="0"/>
          <w:strike w:val="0"/>
          <w:dstrike w:val="0"/>
          <w:color w:val="auto"/>
          <w:kern w:val="0"/>
          <w:sz w:val="32"/>
          <w:szCs w:val="32"/>
          <w:lang w:val="en-US" w:eastAsia="zh-CN" w:bidi="ar-SA"/>
        </w:rPr>
        <w:drawing>
          <wp:inline distT="0" distB="0" distL="0" distR="0">
            <wp:extent cx="2473325" cy="1875790"/>
            <wp:effectExtent l="0" t="0" r="3175"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2473325" cy="1875790"/>
                    </a:xfrm>
                    <a:prstGeom prst="rect">
                      <a:avLst/>
                    </a:prstGeom>
                  </pic:spPr>
                </pic:pic>
              </a:graphicData>
            </a:graphic>
          </wp:inline>
        </w:drawing>
      </w:r>
    </w:p>
    <w:p>
      <w:pPr>
        <w:pStyle w:val="31"/>
        <w:bidi w:val="0"/>
        <w:rPr>
          <w:rFonts w:hint="eastAsia"/>
          <w:lang w:val="en-US" w:eastAsia="zh-CN"/>
        </w:rPr>
      </w:pPr>
      <w:bookmarkStart w:id="115" w:name="_Toc23700"/>
      <w:r>
        <w:rPr>
          <w:rFonts w:hint="eastAsia"/>
          <w:lang w:val="en-US" w:eastAsia="zh-CN"/>
        </w:rPr>
        <w:t>图27  学校开展基层农技人员培训</w:t>
      </w:r>
      <w:bookmarkEnd w:id="115"/>
    </w:p>
    <w:p>
      <w:pPr>
        <w:numPr>
          <w:ilvl w:val="0"/>
          <w:numId w:val="0"/>
        </w:numPr>
        <w:spacing w:line="240" w:lineRule="auto"/>
        <w:ind w:firstLine="643" w:firstLineChars="200"/>
        <w:outlineLvl w:val="9"/>
        <w:rPr>
          <w:rFonts w:hint="eastAsia" w:ascii="仿宋" w:hAnsi="仿宋" w:eastAsia="仿宋" w:cs="仿宋"/>
          <w:b/>
          <w:bCs/>
          <w:strike w:val="0"/>
          <w:dstrike w:val="0"/>
          <w:color w:val="auto"/>
          <w:kern w:val="0"/>
          <w:sz w:val="32"/>
          <w:szCs w:val="32"/>
          <w:lang w:val="en-US" w:eastAsia="zh-CN" w:bidi="ar-SA"/>
        </w:rPr>
      </w:pPr>
      <w:r>
        <w:rPr>
          <w:rFonts w:hint="eastAsia" w:ascii="仿宋" w:hAnsi="仿宋" w:eastAsia="仿宋" w:cs="仿宋"/>
          <w:b/>
          <w:bCs/>
          <w:strike w:val="0"/>
          <w:dstrike w:val="0"/>
          <w:color w:val="auto"/>
          <w:kern w:val="0"/>
          <w:sz w:val="32"/>
          <w:szCs w:val="32"/>
          <w:lang w:val="en-US" w:eastAsia="zh-CN" w:bidi="ar-SA"/>
        </w:rPr>
        <w:t>2.高素质农民培训</w:t>
      </w:r>
    </w:p>
    <w:p>
      <w:pPr>
        <w:numPr>
          <w:ilvl w:val="0"/>
          <w:numId w:val="0"/>
        </w:numPr>
        <w:spacing w:line="240" w:lineRule="auto"/>
        <w:ind w:firstLine="640" w:firstLineChars="200"/>
        <w:outlineLvl w:val="9"/>
        <w:rPr>
          <w:rFonts w:hint="eastAsia" w:ascii="仿宋" w:hAnsi="仿宋" w:eastAsia="仿宋" w:cs="仿宋"/>
          <w:b w:val="0"/>
          <w:bCs w:val="0"/>
          <w:strike w:val="0"/>
          <w:dstrike w:val="0"/>
          <w:color w:val="auto"/>
          <w:kern w:val="0"/>
          <w:sz w:val="32"/>
          <w:szCs w:val="32"/>
          <w:lang w:val="en-US" w:eastAsia="zh-CN" w:bidi="ar-SA"/>
        </w:rPr>
      </w:pPr>
      <w:r>
        <w:rPr>
          <w:rFonts w:hint="eastAsia" w:ascii="仿宋" w:hAnsi="仿宋" w:eastAsia="仿宋" w:cs="仿宋"/>
          <w:b w:val="0"/>
          <w:bCs w:val="0"/>
          <w:strike w:val="0"/>
          <w:dstrike w:val="0"/>
          <w:color w:val="auto"/>
          <w:kern w:val="0"/>
          <w:sz w:val="32"/>
          <w:szCs w:val="32"/>
          <w:lang w:val="en-US" w:eastAsia="zh-CN" w:bidi="ar-SA"/>
        </w:rPr>
        <w:t>学校受合江县农业农村局委托，于2023年举行三期高素质农民培训，培训方式采取集中授课、互动交流、现场参观相结合进行。培训学员270人，培训时长15天。学员为种养大户、农场主、农民专业合作负责人及业务骨干等，帮助学员开阔眼界、找准定位、增强信心，把新思路、新知识、新经验融入到日常农业生产实践中。</w:t>
      </w:r>
    </w:p>
    <w:p>
      <w:pPr>
        <w:spacing w:line="240" w:lineRule="auto"/>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545080" cy="1877060"/>
            <wp:effectExtent l="0" t="0" r="7620" b="8890"/>
            <wp:docPr id="36" name="图片 36" descr="QQ图片2023110917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31109172823"/>
                    <pic:cNvPicPr>
                      <a:picLocks noChangeAspect="1"/>
                    </pic:cNvPicPr>
                  </pic:nvPicPr>
                  <pic:blipFill>
                    <a:blip r:embed="rId47"/>
                    <a:stretch>
                      <a:fillRect/>
                    </a:stretch>
                  </pic:blipFill>
                  <pic:spPr>
                    <a:xfrm>
                      <a:off x="0" y="0"/>
                      <a:ext cx="2545080" cy="1877060"/>
                    </a:xfrm>
                    <a:prstGeom prst="rect">
                      <a:avLst/>
                    </a:prstGeom>
                  </pic:spPr>
                </pic:pic>
              </a:graphicData>
            </a:graphic>
          </wp:inline>
        </w:drawing>
      </w:r>
      <w:r>
        <w:rPr>
          <w:rFonts w:hint="eastAsia" w:ascii="仿宋" w:hAnsi="仿宋" w:eastAsia="仿宋" w:cs="仿宋"/>
          <w:b w:val="0"/>
          <w:bCs w:val="0"/>
          <w:strike w:val="0"/>
          <w:dstrike w:val="0"/>
          <w:color w:val="auto"/>
          <w:kern w:val="0"/>
          <w:sz w:val="11"/>
          <w:szCs w:val="11"/>
          <w:lang w:val="en-US" w:eastAsia="zh-CN" w:bidi="ar-SA"/>
        </w:rPr>
        <w:t xml:space="preserve"> </w:t>
      </w:r>
      <w:r>
        <w:rPr>
          <w:rFonts w:hint="eastAsia" w:ascii="仿宋" w:hAnsi="仿宋" w:eastAsia="仿宋" w:cs="仿宋"/>
          <w:b w:val="0"/>
          <w:bCs w:val="0"/>
          <w:strike w:val="0"/>
          <w:dstrike w:val="0"/>
          <w:color w:val="auto"/>
          <w:kern w:val="0"/>
          <w:sz w:val="32"/>
          <w:szCs w:val="32"/>
          <w:lang w:val="en-US" w:eastAsia="zh-CN" w:bidi="ar-SA"/>
        </w:rPr>
        <w:drawing>
          <wp:inline distT="0" distB="0" distL="114300" distR="114300">
            <wp:extent cx="2590800" cy="1872615"/>
            <wp:effectExtent l="0" t="0" r="0" b="13335"/>
            <wp:docPr id="37" name="图片 37" descr="QQ图片2023110917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31109172728"/>
                    <pic:cNvPicPr>
                      <a:picLocks noChangeAspect="1"/>
                    </pic:cNvPicPr>
                  </pic:nvPicPr>
                  <pic:blipFill>
                    <a:blip r:embed="rId48"/>
                    <a:stretch>
                      <a:fillRect/>
                    </a:stretch>
                  </pic:blipFill>
                  <pic:spPr>
                    <a:xfrm>
                      <a:off x="0" y="0"/>
                      <a:ext cx="2590800" cy="1872615"/>
                    </a:xfrm>
                    <a:prstGeom prst="rect">
                      <a:avLst/>
                    </a:prstGeom>
                  </pic:spPr>
                </pic:pic>
              </a:graphicData>
            </a:graphic>
          </wp:inline>
        </w:drawing>
      </w:r>
    </w:p>
    <w:p>
      <w:pPr>
        <w:pStyle w:val="31"/>
        <w:bidi w:val="0"/>
        <w:rPr>
          <w:rFonts w:hint="eastAsia"/>
          <w:lang w:val="en-US" w:eastAsia="zh-CN"/>
        </w:rPr>
      </w:pPr>
      <w:bookmarkStart w:id="116" w:name="_Toc20586"/>
      <w:r>
        <w:rPr>
          <w:rFonts w:hint="eastAsia"/>
          <w:lang w:val="en-US" w:eastAsia="zh-CN"/>
        </w:rPr>
        <w:t>图28 学校开展高素质农民培育</w:t>
      </w:r>
      <w:bookmarkEnd w:id="116"/>
    </w:p>
    <w:p>
      <w:pPr>
        <w:pStyle w:val="32"/>
        <w:bidi w:val="0"/>
        <w:jc w:val="left"/>
        <w:rPr>
          <w:rFonts w:hint="eastAsia"/>
          <w:lang w:val="en-US" w:eastAsia="zh-CN"/>
        </w:rPr>
      </w:pPr>
      <w:bookmarkStart w:id="117" w:name="_Toc4452"/>
      <w:r>
        <w:rPr>
          <w:rFonts w:hint="eastAsia"/>
          <w:lang w:val="en-US" w:eastAsia="zh-CN"/>
        </w:rPr>
        <w:t>典型案例16：</w:t>
      </w:r>
      <w:bookmarkEnd w:id="117"/>
    </w:p>
    <w:p>
      <w:pPr>
        <w:pStyle w:val="32"/>
        <w:bidi w:val="0"/>
        <w:jc w:val="center"/>
        <w:rPr>
          <w:rFonts w:hint="eastAsia"/>
          <w:lang w:val="en-US" w:eastAsia="zh-CN"/>
        </w:rPr>
      </w:pPr>
      <w:bookmarkStart w:id="118" w:name="_Toc2340"/>
      <w:r>
        <w:rPr>
          <w:rFonts w:hint="eastAsia"/>
          <w:lang w:val="en-US" w:eastAsia="zh-CN"/>
        </w:rPr>
        <w:t>培育高素质农民 助力乡村人才振兴</w:t>
      </w:r>
      <w:bookmarkEnd w:id="118"/>
    </w:p>
    <w:p>
      <w:pPr>
        <w:spacing w:line="240" w:lineRule="auto"/>
        <w:ind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学校于2022年10月14日，举办合江县高素质农民培训，培训方式采取集中授课、互动交流、现场参观相结合进行。培训学员80人，培训时长15天。学员为种养大户、农场主、农民专业合作负责人及业务骨干等。其中分段集中理论培训累计6天，参与式田间实训、参观考察学习、现场生产实践指导累计7天，线上学习累计2天，考试、考核、发证1天。主要学习农产品电子商务，家庭农场创建，农产品质量安全，创新意识培育，农产品市场营销，肥水管理、田间管理、果树栽培技术、病虫害防治、农产品质量安全、农机使用与维修、无人机操作等课程。</w:t>
      </w:r>
    </w:p>
    <w:p>
      <w:pPr>
        <w:spacing w:line="240" w:lineRule="auto"/>
        <w:ind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先后到泸州市江阳区、泸县、合江县地区的农民合作社、家庭农场、现代农业示范园区参观考察。通过培训，学员开阔了眼界，拓展了视野，找准了定位，增强了创业信心。把新思路、新技术、新经验、新模式融入到日常农业生产实践中，学以致用，逐步提高经营能力，振兴乡村产业，带领更多的父老乡亲过上更加美好的幸福生活。</w:t>
      </w:r>
    </w:p>
    <w:p>
      <w:pPr>
        <w:pStyle w:val="29"/>
        <w:spacing w:line="240" w:lineRule="auto"/>
        <w:ind w:left="0" w:leftChars="0"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 w:val="28"/>
          <w:szCs w:val="28"/>
          <w:lang w:val="en-US" w:eastAsia="zh-CN"/>
        </w:rPr>
        <w:drawing>
          <wp:inline distT="0" distB="0" distL="114300" distR="114300">
            <wp:extent cx="2510790" cy="2016125"/>
            <wp:effectExtent l="0" t="0" r="3810" b="3175"/>
            <wp:docPr id="13" name="图片 13" descr="mmexport166597625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665976251273"/>
                    <pic:cNvPicPr>
                      <a:picLocks noChangeAspect="1"/>
                    </pic:cNvPicPr>
                  </pic:nvPicPr>
                  <pic:blipFill>
                    <a:blip r:embed="rId49"/>
                    <a:stretch>
                      <a:fillRect/>
                    </a:stretch>
                  </pic:blipFill>
                  <pic:spPr>
                    <a:xfrm>
                      <a:off x="0" y="0"/>
                      <a:ext cx="2510790" cy="2016125"/>
                    </a:xfrm>
                    <a:prstGeom prst="rect">
                      <a:avLst/>
                    </a:prstGeom>
                  </pic:spPr>
                </pic:pic>
              </a:graphicData>
            </a:graphic>
          </wp:inline>
        </w:drawing>
      </w:r>
      <w:r>
        <w:rPr>
          <w:rFonts w:hint="eastAsia" w:ascii="仿宋" w:hAnsi="仿宋" w:eastAsia="仿宋" w:cs="仿宋"/>
          <w:color w:val="auto"/>
          <w:sz w:val="11"/>
          <w:szCs w:val="11"/>
          <w:lang w:val="en-US" w:eastAsia="zh-CN"/>
        </w:rPr>
        <w:t xml:space="preserve"> </w:t>
      </w:r>
      <w:r>
        <w:rPr>
          <w:rFonts w:hint="eastAsia" w:ascii="仿宋" w:hAnsi="仿宋" w:eastAsia="仿宋" w:cs="仿宋"/>
          <w:color w:val="auto"/>
          <w:kern w:val="2"/>
          <w:sz w:val="28"/>
          <w:szCs w:val="28"/>
          <w:lang w:val="en-US" w:eastAsia="zh-CN" w:bidi="ar-SA"/>
        </w:rPr>
        <w:drawing>
          <wp:inline distT="0" distB="0" distL="114300" distR="114300">
            <wp:extent cx="2713990" cy="2011045"/>
            <wp:effectExtent l="0" t="0" r="10160" b="8255"/>
            <wp:docPr id="19" name="图片 19" descr="mmexport166670246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666702464112"/>
                    <pic:cNvPicPr>
                      <a:picLocks noChangeAspect="1"/>
                    </pic:cNvPicPr>
                  </pic:nvPicPr>
                  <pic:blipFill>
                    <a:blip r:embed="rId50"/>
                    <a:stretch>
                      <a:fillRect/>
                    </a:stretch>
                  </pic:blipFill>
                  <pic:spPr>
                    <a:xfrm>
                      <a:off x="0" y="0"/>
                      <a:ext cx="2713990" cy="2011045"/>
                    </a:xfrm>
                    <a:prstGeom prst="rect">
                      <a:avLst/>
                    </a:prstGeom>
                  </pic:spPr>
                </pic:pic>
              </a:graphicData>
            </a:graphic>
          </wp:inline>
        </w:drawing>
      </w:r>
    </w:p>
    <w:p>
      <w:pPr>
        <w:pStyle w:val="31"/>
        <w:bidi w:val="0"/>
        <w:rPr>
          <w:rFonts w:hint="default"/>
          <w:lang w:val="en-US" w:eastAsia="zh-CN"/>
        </w:rPr>
      </w:pPr>
      <w:bookmarkStart w:id="119" w:name="_Toc4170"/>
      <w:r>
        <w:rPr>
          <w:rFonts w:hint="eastAsia"/>
          <w:lang w:val="en-US" w:eastAsia="zh-CN"/>
        </w:rPr>
        <w:t>图29  高素质农民知识、技能更新培训</w:t>
      </w:r>
      <w:bookmarkEnd w:id="119"/>
    </w:p>
    <w:p>
      <w:pPr>
        <w:pStyle w:val="32"/>
        <w:bidi w:val="0"/>
        <w:jc w:val="left"/>
        <w:rPr>
          <w:rFonts w:hint="eastAsia"/>
          <w:lang w:val="en-US" w:eastAsia="zh-CN"/>
        </w:rPr>
      </w:pPr>
      <w:bookmarkStart w:id="120" w:name="_Toc16924"/>
      <w:r>
        <w:rPr>
          <w:rFonts w:hint="eastAsia"/>
          <w:lang w:val="en-US" w:eastAsia="zh-CN"/>
        </w:rPr>
        <w:t>典型案例17：</w:t>
      </w:r>
      <w:bookmarkEnd w:id="120"/>
    </w:p>
    <w:p>
      <w:pPr>
        <w:pStyle w:val="32"/>
        <w:bidi w:val="0"/>
        <w:jc w:val="center"/>
        <w:rPr>
          <w:rFonts w:hint="eastAsia"/>
          <w:lang w:val="en-US" w:eastAsia="zh-CN"/>
        </w:rPr>
      </w:pPr>
      <w:bookmarkStart w:id="121" w:name="_Toc1785"/>
      <w:r>
        <w:rPr>
          <w:rFonts w:hint="eastAsia"/>
          <w:lang w:val="en-US" w:eastAsia="zh-CN"/>
        </w:rPr>
        <w:t>学校开展泸州市“黄丝带•同心帮教”职业技能培训</w:t>
      </w:r>
      <w:bookmarkEnd w:id="121"/>
    </w:p>
    <w:p>
      <w:pPr>
        <w:spacing w:line="24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四川三河职业学院受泸州市司法局委托，于2023月5月29日至6月2号对社区矫正人员开展职业技能培训，培训专业电子装配，培训学员50人。学校安排优秀的教师授课，培训内容包括专业技能，心理健康、安全教育等内容。选配优秀辅导员和班主任，辅导员负责班级学生的思想引领；班主任负责班级的日常管理，引导学员加强互相交流和自我管理。培训以理论讲授与实际操作相结合，以实际操作为主。培训形式以专题讲座、现场教学、实训及经验交流等方式开展。通过培训，学员掌握了电子产品装配工艺、电子产品生产中的先进技术和设备、现代电子产品制造的生产过程的相关知识，学会了常用装配工具与设备的使用、元器件焊接、电子整机装配与电子产品调试、检验、包装等技能，为在就业打下了坚实基础。</w:t>
      </w:r>
    </w:p>
    <w:p>
      <w:pPr>
        <w:pStyle w:val="29"/>
        <w:spacing w:line="240" w:lineRule="auto"/>
        <w:ind w:left="0" w:leftChars="0" w:firstLine="0" w:firstLineChars="0"/>
        <w:jc w:val="center"/>
        <w:rPr>
          <w:rFonts w:hint="eastAsia" w:ascii="仿宋" w:hAnsi="仿宋" w:eastAsia="仿宋" w:cs="仿宋"/>
          <w:color w:val="auto"/>
          <w:lang w:val="en-US" w:eastAsia="zh-CN"/>
        </w:rPr>
      </w:pPr>
      <w:r>
        <w:rPr>
          <w:rFonts w:hint="eastAsia" w:ascii="仿宋" w:hAnsi="仿宋" w:eastAsia="仿宋" w:cs="仿宋"/>
          <w:color w:val="auto"/>
        </w:rPr>
        <w:drawing>
          <wp:inline distT="0" distB="0" distL="114300" distR="114300">
            <wp:extent cx="2510790" cy="1898650"/>
            <wp:effectExtent l="0" t="0" r="3810" b="635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51"/>
                    <a:stretch>
                      <a:fillRect/>
                    </a:stretch>
                  </pic:blipFill>
                  <pic:spPr>
                    <a:xfrm>
                      <a:off x="0" y="0"/>
                      <a:ext cx="2510790" cy="1898650"/>
                    </a:xfrm>
                    <a:prstGeom prst="rect">
                      <a:avLst/>
                    </a:prstGeom>
                    <a:noFill/>
                    <a:ln w="9525">
                      <a:noFill/>
                    </a:ln>
                  </pic:spPr>
                </pic:pic>
              </a:graphicData>
            </a:graphic>
          </wp:inline>
        </w:drawing>
      </w:r>
      <w:r>
        <w:rPr>
          <w:rFonts w:hint="eastAsia" w:ascii="仿宋" w:hAnsi="仿宋" w:eastAsia="仿宋" w:cs="仿宋"/>
          <w:color w:val="auto"/>
          <w:sz w:val="11"/>
          <w:szCs w:val="11"/>
          <w:lang w:val="en-US" w:eastAsia="zh-CN"/>
        </w:rPr>
        <w:t xml:space="preserve"> </w:t>
      </w:r>
      <w:r>
        <w:rPr>
          <w:rFonts w:hint="eastAsia" w:ascii="仿宋" w:hAnsi="仿宋" w:eastAsia="仿宋" w:cs="仿宋"/>
          <w:b/>
          <w:bCs/>
          <w:color w:val="auto"/>
          <w:sz w:val="24"/>
          <w:szCs w:val="24"/>
          <w:highlight w:val="none"/>
          <w:lang w:val="en-US" w:eastAsia="zh-CN"/>
        </w:rPr>
        <w:drawing>
          <wp:inline distT="0" distB="0" distL="114300" distR="114300">
            <wp:extent cx="2540000" cy="1902460"/>
            <wp:effectExtent l="0" t="0" r="12700" b="2540"/>
            <wp:docPr id="21" name="图片 21" descr="20263f749cdb6a3586a145a42f6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63f749cdb6a3586a145a42f62975"/>
                    <pic:cNvPicPr>
                      <a:picLocks noChangeAspect="1"/>
                    </pic:cNvPicPr>
                  </pic:nvPicPr>
                  <pic:blipFill>
                    <a:blip r:embed="rId52"/>
                    <a:stretch>
                      <a:fillRect/>
                    </a:stretch>
                  </pic:blipFill>
                  <pic:spPr>
                    <a:xfrm>
                      <a:off x="0" y="0"/>
                      <a:ext cx="2540000" cy="1902460"/>
                    </a:xfrm>
                    <a:prstGeom prst="rect">
                      <a:avLst/>
                    </a:prstGeom>
                  </pic:spPr>
                </pic:pic>
              </a:graphicData>
            </a:graphic>
          </wp:inline>
        </w:drawing>
      </w:r>
    </w:p>
    <w:p>
      <w:pPr>
        <w:pStyle w:val="31"/>
        <w:bidi w:val="0"/>
        <w:rPr>
          <w:rFonts w:hint="default"/>
          <w:lang w:val="en-US" w:eastAsia="zh-CN"/>
        </w:rPr>
      </w:pPr>
      <w:bookmarkStart w:id="122" w:name="_Toc21746"/>
      <w:r>
        <w:rPr>
          <w:rFonts w:hint="eastAsia"/>
          <w:lang w:val="en-US" w:eastAsia="zh-CN"/>
        </w:rPr>
        <w:t>图30  学校开展“黄丝带•同心帮教”职业技能培训</w:t>
      </w:r>
      <w:bookmarkEnd w:id="122"/>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0"/>
        <w:rPr>
          <w:rFonts w:hint="eastAsia" w:ascii="仿宋" w:hAnsi="仿宋" w:eastAsia="仿宋" w:cs="仿宋"/>
          <w:b/>
          <w:bCs/>
          <w:color w:val="auto"/>
          <w:sz w:val="32"/>
          <w:szCs w:val="32"/>
          <w:lang w:val="en-US" w:eastAsia="zh-CN"/>
        </w:rPr>
      </w:pPr>
      <w:bookmarkStart w:id="123" w:name="_Toc30031"/>
      <w:r>
        <w:rPr>
          <w:rFonts w:hint="eastAsia" w:ascii="仿宋" w:hAnsi="仿宋" w:eastAsia="仿宋" w:cs="仿宋"/>
          <w:b/>
          <w:bCs/>
          <w:color w:val="auto"/>
          <w:sz w:val="32"/>
          <w:szCs w:val="32"/>
          <w:lang w:val="en-US" w:eastAsia="zh-CN"/>
        </w:rPr>
        <w:t>七、面临挑战</w:t>
      </w:r>
      <w:bookmarkEnd w:id="123"/>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24" w:name="_Toc28145"/>
      <w:r>
        <w:rPr>
          <w:rFonts w:hint="eastAsia" w:ascii="仿宋" w:hAnsi="仿宋" w:eastAsia="仿宋" w:cs="仿宋"/>
          <w:b/>
          <w:bCs/>
          <w:color w:val="auto"/>
          <w:sz w:val="32"/>
          <w:szCs w:val="32"/>
          <w:lang w:val="en-US" w:eastAsia="zh-CN"/>
        </w:rPr>
        <w:t>（一）类型教育特点突出，带来挑战</w:t>
      </w:r>
      <w:bookmarkEnd w:id="124"/>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国家职业教育改革实施方案》指出：“职业教育与普通教育是两种不同教育类型”，它区别于普通教育和学科教育，更加注重技术的培养和技能的训练；随着《中华人民共和国职业教育法》《关于深化现代职业教育体系建设改革的意见》等政策文件的出台，立足学校，面对职业教育的教育思想、理念、模式、内容、方法、手段以及协同育人等方面带来巨大的革命和挑战，学校需要在面对挑战中加强理论准备、思想转变、教师储备、实践应对、方法更新等，以对标竞进工作为牵引，以质量工程为抓手，以规范办学为突破点，以类型教育为特色，以突出能力培养为重点，办好学校，发展学校。</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25" w:name="_Toc4023"/>
      <w:r>
        <w:rPr>
          <w:rFonts w:hint="eastAsia" w:ascii="仿宋" w:hAnsi="仿宋" w:eastAsia="仿宋" w:cs="仿宋"/>
          <w:b/>
          <w:bCs/>
          <w:color w:val="auto"/>
          <w:sz w:val="32"/>
          <w:szCs w:val="32"/>
          <w:lang w:val="en-US" w:eastAsia="zh-CN"/>
        </w:rPr>
        <w:t>（二）区域产业转型升级，带来挑战</w:t>
      </w:r>
      <w:bookmarkEnd w:id="125"/>
    </w:p>
    <w:p>
      <w:pPr>
        <w:spacing w:line="240"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学校面对成渝经济圈的发展战略和区域产业转型升级带来挑战，学校提出了面对挑战，重新进行专业整合建设的意见。按照四川省委</w:t>
      </w:r>
      <w:r>
        <w:rPr>
          <w:rFonts w:hint="eastAsia" w:ascii="仿宋" w:hAnsi="仿宋" w:eastAsia="仿宋" w:cs="仿宋"/>
          <w:color w:val="auto"/>
          <w:kern w:val="2"/>
          <w:sz w:val="32"/>
          <w:szCs w:val="32"/>
          <w:lang w:val="en-US" w:eastAsia="zh-CN" w:bidi="ar-SA"/>
        </w:rPr>
        <w:t>“10+3”现代农业产业体系，逐步兴办对接区域农业发展的涉农专业，形成专业亮点。不断探索人才培养模式，避免专业同质化发展；按照“5+1”现代产业体系，优化、调整、整合对接二产业的专业，形成专业特色；依据“4+6”现代服务业体系，逐步发展轻装备、重技能、易转型的对接三产业的服务类、卫生健康类以及教育类、管理类等专业，形成专业优势。学校今年主动将27个专业调整收缩为21个专业，进一步修订了人才培养方案，集中力量以此破解</w:t>
      </w:r>
      <w:r>
        <w:rPr>
          <w:rFonts w:hint="eastAsia" w:ascii="仿宋" w:hAnsi="仿宋" w:eastAsia="仿宋" w:cs="仿宋"/>
          <w:color w:val="auto"/>
          <w:sz w:val="32"/>
          <w:szCs w:val="32"/>
          <w:lang w:val="en-US" w:eastAsia="zh-CN"/>
        </w:rPr>
        <w:t>区域产业转型升级给学校建设发展带来的挑战。</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outlineLvl w:val="1"/>
        <w:rPr>
          <w:rFonts w:hint="eastAsia" w:ascii="仿宋" w:hAnsi="仿宋" w:eastAsia="仿宋" w:cs="仿宋"/>
          <w:b/>
          <w:bCs/>
          <w:color w:val="auto"/>
          <w:sz w:val="32"/>
          <w:szCs w:val="32"/>
          <w:lang w:val="en-US" w:eastAsia="zh-CN"/>
        </w:rPr>
      </w:pPr>
      <w:bookmarkStart w:id="126" w:name="_Toc24854"/>
      <w:r>
        <w:rPr>
          <w:rFonts w:hint="eastAsia" w:ascii="仿宋" w:hAnsi="仿宋" w:eastAsia="仿宋" w:cs="仿宋"/>
          <w:b/>
          <w:bCs/>
          <w:color w:val="auto"/>
          <w:sz w:val="32"/>
          <w:szCs w:val="32"/>
          <w:lang w:val="en-US" w:eastAsia="zh-CN"/>
        </w:rPr>
        <w:t>（三）生源结构深刻变化，带来挑战</w:t>
      </w:r>
      <w:bookmarkEnd w:id="126"/>
    </w:p>
    <w:p>
      <w:pPr>
        <w:numPr>
          <w:ilvl w:val="0"/>
          <w:numId w:val="0"/>
        </w:numPr>
        <w:spacing w:line="240" w:lineRule="auto"/>
        <w:ind w:firstLine="640" w:firstLineChars="200"/>
        <w:jc w:val="left"/>
        <w:rPr>
          <w:rFonts w:hint="eastAsia" w:ascii="仿宋" w:hAnsi="仿宋" w:eastAsia="仿宋" w:cs="宋体"/>
          <w:b/>
          <w:bCs/>
          <w:color w:val="auto"/>
          <w:sz w:val="32"/>
          <w:szCs w:val="32"/>
          <w:lang w:val="en-US" w:eastAsia="zh-CN"/>
        </w:rPr>
      </w:pPr>
      <w:r>
        <w:rPr>
          <w:rFonts w:hint="eastAsia" w:ascii="仿宋" w:hAnsi="仿宋" w:eastAsia="仿宋" w:cs="仿宋"/>
          <w:color w:val="auto"/>
          <w:sz w:val="32"/>
          <w:szCs w:val="32"/>
          <w:lang w:val="en-US" w:eastAsia="zh-CN"/>
        </w:rPr>
        <w:t>近来年，随着职业教育改革的深化，学校生源结构发生了深刻变化：招录形式由单一的统招变为统招、单招和扩招，生源里有普高学生、中职学生和社会学生；学校不再面向单一的生源对象开展教育教学活动。多元化的生源结构势必冲击大一统的课堂教育教学方式，信息化教学和课堂教学形式、方法、手段等的变化，使学校面临着分层、分类教育教学的挑战。按照教育即生活，教育即活动的观念，学校将一课堂教学课堂、二课堂课外课堂、三课堂校外课堂、四课堂网络课堂同专业核心能力与职业核心能力联动共融，实现类型教育的人才培养。</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outlineLvl w:val="0"/>
        <w:rPr>
          <w:rFonts w:hint="eastAsia" w:ascii="仿宋" w:hAnsi="仿宋" w:eastAsia="仿宋" w:cs="宋体"/>
          <w:b/>
          <w:bCs/>
          <w:color w:val="auto"/>
          <w:sz w:val="32"/>
          <w:szCs w:val="32"/>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outlineLvl w:val="0"/>
        <w:rPr>
          <w:rFonts w:hint="eastAsia" w:ascii="仿宋" w:hAnsi="仿宋" w:eastAsia="仿宋" w:cs="宋体"/>
          <w:b/>
          <w:bCs/>
          <w:color w:val="auto"/>
          <w:sz w:val="32"/>
          <w:szCs w:val="32"/>
          <w:lang w:val="en-US" w:eastAsia="zh-CN"/>
        </w:rPr>
      </w:pPr>
      <w:bookmarkStart w:id="127" w:name="_Toc31704"/>
      <w:r>
        <w:rPr>
          <w:rFonts w:hint="eastAsia" w:ascii="仿宋" w:hAnsi="仿宋" w:eastAsia="仿宋" w:cs="宋体"/>
          <w:b/>
          <w:bCs/>
          <w:color w:val="auto"/>
          <w:sz w:val="32"/>
          <w:szCs w:val="32"/>
          <w:lang w:val="en-US" w:eastAsia="zh-CN"/>
        </w:rPr>
        <w:t>附表</w:t>
      </w:r>
      <w:bookmarkEnd w:id="127"/>
    </w:p>
    <w:p>
      <w:pPr>
        <w:jc w:val="center"/>
        <w:outlineLvl w:val="1"/>
        <w:rPr>
          <w:rFonts w:ascii="Times New Roman" w:hAnsi="Times New Roman" w:eastAsia="黑体" w:cs="Times New Roman"/>
          <w:sz w:val="32"/>
          <w:szCs w:val="32"/>
        </w:rPr>
      </w:pPr>
      <w:bookmarkStart w:id="128" w:name="_Toc9761"/>
      <w:r>
        <w:rPr>
          <w:rFonts w:ascii="Times New Roman" w:hAnsi="Times New Roman" w:eastAsia="黑体" w:cs="Times New Roman"/>
          <w:sz w:val="32"/>
          <w:szCs w:val="32"/>
        </w:rPr>
        <w:t>表1  人才培养质量计分卡</w:t>
      </w:r>
      <w:bookmarkEnd w:id="128"/>
    </w:p>
    <w:p>
      <w:pPr>
        <w:jc w:val="center"/>
        <w:outlineLvl w:val="1"/>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64384" behindDoc="0" locked="0" layoutInCell="1" allowOverlap="1">
            <wp:simplePos x="0" y="0"/>
            <wp:positionH relativeFrom="column">
              <wp:posOffset>-236855</wp:posOffset>
            </wp:positionH>
            <wp:positionV relativeFrom="paragraph">
              <wp:posOffset>-211455</wp:posOffset>
            </wp:positionV>
            <wp:extent cx="5808345" cy="3983355"/>
            <wp:effectExtent l="0" t="0" r="1905" b="17145"/>
            <wp:wrapNone/>
            <wp:docPr id="39" name="图片 39" descr="人才培养质量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人才培养质量计分卡_new"/>
                    <pic:cNvPicPr>
                      <a:picLocks noChangeAspect="1"/>
                    </pic:cNvPicPr>
                  </pic:nvPicPr>
                  <pic:blipFill>
                    <a:blip r:embed="rId53"/>
                    <a:stretch>
                      <a:fillRect/>
                    </a:stretch>
                  </pic:blipFill>
                  <pic:spPr>
                    <a:xfrm>
                      <a:off x="0" y="0"/>
                      <a:ext cx="5808345" cy="3983355"/>
                    </a:xfrm>
                    <a:prstGeom prst="rect">
                      <a:avLst/>
                    </a:prstGeom>
                  </pic:spPr>
                </pic:pic>
              </a:graphicData>
            </a:graphic>
          </wp:anchor>
        </w:drawing>
      </w: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rPr>
          <w:rFonts w:ascii="Times New Roman" w:hAnsi="Times New Roman" w:eastAsia="黑体" w:cs="Times New Roman"/>
          <w:sz w:val="32"/>
          <w:szCs w:val="32"/>
        </w:rPr>
      </w:pPr>
      <w:bookmarkStart w:id="129" w:name="_Toc519"/>
      <w:r>
        <w:rPr>
          <w:rFonts w:ascii="Times New Roman" w:hAnsi="Times New Roman" w:eastAsia="黑体" w:cs="Times New Roman"/>
          <w:sz w:val="32"/>
          <w:szCs w:val="32"/>
        </w:rPr>
        <w:br w:type="page"/>
      </w:r>
    </w:p>
    <w:p>
      <w:pPr>
        <w:jc w:val="center"/>
        <w:outlineLvl w:val="1"/>
        <w:rPr>
          <w:rFonts w:ascii="Times New Roman" w:hAnsi="Times New Roman" w:eastAsia="黑体" w:cs="Times New Roman"/>
          <w:sz w:val="32"/>
          <w:szCs w:val="32"/>
        </w:rPr>
      </w:pPr>
      <w:r>
        <w:rPr>
          <w:rFonts w:ascii="Times New Roman" w:hAnsi="Times New Roman" w:eastAsia="黑体" w:cs="Times New Roman"/>
          <w:sz w:val="32"/>
          <w:szCs w:val="32"/>
        </w:rPr>
        <w:t xml:space="preserve">表2 </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满意度调查表</w:t>
      </w:r>
      <w:bookmarkEnd w:id="129"/>
    </w:p>
    <w:p>
      <w:pPr>
        <w:jc w:val="center"/>
        <w:outlineLvl w:val="1"/>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drawing>
          <wp:anchor distT="0" distB="0" distL="114300" distR="114300" simplePos="0" relativeHeight="251663360" behindDoc="0" locked="0" layoutInCell="1" allowOverlap="1">
            <wp:simplePos x="0" y="0"/>
            <wp:positionH relativeFrom="column">
              <wp:posOffset>-478155</wp:posOffset>
            </wp:positionH>
            <wp:positionV relativeFrom="paragraph">
              <wp:posOffset>331470</wp:posOffset>
            </wp:positionV>
            <wp:extent cx="6381115" cy="4227195"/>
            <wp:effectExtent l="0" t="0" r="635" b="1905"/>
            <wp:wrapNone/>
            <wp:docPr id="50" name="图片 50" descr="满意度调查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满意度调查表_new"/>
                    <pic:cNvPicPr>
                      <a:picLocks noChangeAspect="1"/>
                    </pic:cNvPicPr>
                  </pic:nvPicPr>
                  <pic:blipFill>
                    <a:blip r:embed="rId54"/>
                    <a:stretch>
                      <a:fillRect/>
                    </a:stretch>
                  </pic:blipFill>
                  <pic:spPr>
                    <a:xfrm>
                      <a:off x="0" y="0"/>
                      <a:ext cx="6381115" cy="4227195"/>
                    </a:xfrm>
                    <a:prstGeom prst="rect">
                      <a:avLst/>
                    </a:prstGeom>
                  </pic:spPr>
                </pic:pic>
              </a:graphicData>
            </a:graphic>
          </wp:anchor>
        </w:drawing>
      </w:r>
    </w:p>
    <w:p>
      <w:pPr>
        <w:widowControl/>
        <w:spacing w:line="560" w:lineRule="exact"/>
        <w:ind w:firstLine="640" w:firstLineChars="200"/>
        <w:outlineLvl w:val="9"/>
        <w:rPr>
          <w:rFonts w:ascii="楷体_GB2312" w:hAnsi="楷体_GB2312" w:eastAsia="楷体_GB2312" w:cs="楷体_GB2312"/>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jc w:val="center"/>
        <w:outlineLvl w:val="9"/>
        <w:rPr>
          <w:rFonts w:ascii="Times New Roman" w:hAnsi="Times New Roman" w:eastAsia="黑体" w:cs="Times New Roman"/>
          <w:sz w:val="32"/>
          <w:szCs w:val="32"/>
        </w:rPr>
      </w:pPr>
    </w:p>
    <w:p>
      <w:pPr>
        <w:rPr>
          <w:rFonts w:ascii="Times New Roman" w:hAnsi="Times New Roman" w:eastAsia="黑体" w:cs="Times New Roman"/>
          <w:sz w:val="32"/>
          <w:szCs w:val="32"/>
        </w:rPr>
      </w:pPr>
      <w:bookmarkStart w:id="130" w:name="_Toc16069"/>
      <w:r>
        <w:rPr>
          <w:rFonts w:ascii="Times New Roman" w:hAnsi="Times New Roman" w:eastAsia="黑体" w:cs="Times New Roman"/>
          <w:sz w:val="32"/>
          <w:szCs w:val="32"/>
        </w:rPr>
        <w:br w:type="page"/>
      </w:r>
    </w:p>
    <w:p>
      <w:pPr>
        <w:jc w:val="center"/>
        <w:outlineLvl w:val="1"/>
        <w:rPr>
          <w:rFonts w:ascii="Times New Roman" w:hAnsi="Times New Roman" w:eastAsia="黑体" w:cs="Times New Roman"/>
          <w:sz w:val="32"/>
          <w:szCs w:val="32"/>
        </w:rPr>
      </w:pPr>
      <w:r>
        <w:rPr>
          <w:rFonts w:ascii="Times New Roman" w:hAnsi="Times New Roman" w:eastAsia="黑体" w:cs="Times New Roman"/>
          <w:sz w:val="32"/>
          <w:szCs w:val="32"/>
        </w:rPr>
        <w:t>表3  教学资源表</w:t>
      </w:r>
      <w:bookmarkEnd w:id="130"/>
    </w:p>
    <w:p>
      <w:pPr>
        <w:rPr>
          <w:rFonts w:ascii="Times New Roman" w:hAnsi="Times New Roman" w:eastAsia="黑体" w:cs="Times New Roman"/>
          <w:sz w:val="32"/>
          <w:szCs w:val="32"/>
        </w:rPr>
      </w:pPr>
      <w:bookmarkStart w:id="131" w:name="_Toc13614"/>
      <w:r>
        <w:rPr>
          <w:rFonts w:hint="eastAsia" w:ascii="Times New Roman" w:hAnsi="Times New Roman" w:eastAsia="黑体" w:cs="Times New Roman"/>
          <w:sz w:val="32"/>
          <w:szCs w:val="32"/>
          <w:lang w:eastAsia="zh-CN"/>
        </w:rPr>
        <w:drawing>
          <wp:anchor distT="0" distB="0" distL="114300" distR="114300" simplePos="0" relativeHeight="251665408" behindDoc="0" locked="0" layoutInCell="1" allowOverlap="1">
            <wp:simplePos x="0" y="0"/>
            <wp:positionH relativeFrom="column">
              <wp:posOffset>-106680</wp:posOffset>
            </wp:positionH>
            <wp:positionV relativeFrom="paragraph">
              <wp:posOffset>240030</wp:posOffset>
            </wp:positionV>
            <wp:extent cx="5695950" cy="8587740"/>
            <wp:effectExtent l="0" t="0" r="0" b="3810"/>
            <wp:wrapNone/>
            <wp:docPr id="54" name="图片 54" descr="教学资源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教学资源表_new"/>
                    <pic:cNvPicPr>
                      <a:picLocks noChangeAspect="1"/>
                    </pic:cNvPicPr>
                  </pic:nvPicPr>
                  <pic:blipFill>
                    <a:blip r:embed="rId55"/>
                    <a:stretch>
                      <a:fillRect/>
                    </a:stretch>
                  </pic:blipFill>
                  <pic:spPr>
                    <a:xfrm>
                      <a:off x="0" y="0"/>
                      <a:ext cx="5695950" cy="8587740"/>
                    </a:xfrm>
                    <a:prstGeom prst="rect">
                      <a:avLst/>
                    </a:prstGeom>
                  </pic:spPr>
                </pic:pic>
              </a:graphicData>
            </a:graphic>
          </wp:anchor>
        </w:drawing>
      </w:r>
      <w:r>
        <w:rPr>
          <w:rFonts w:ascii="Times New Roman" w:hAnsi="Times New Roman" w:eastAsia="黑体" w:cs="Times New Roman"/>
          <w:sz w:val="32"/>
          <w:szCs w:val="32"/>
        </w:rPr>
        <w:br w:type="page"/>
      </w:r>
    </w:p>
    <w:p>
      <w:pPr>
        <w:jc w:val="center"/>
        <w:outlineLvl w:val="1"/>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表4  服务贡献表</w:t>
      </w:r>
      <w:bookmarkEnd w:id="131"/>
    </w:p>
    <w:p>
      <w:pPr>
        <w:jc w:val="center"/>
        <w:outlineLvl w:val="1"/>
        <w:rPr>
          <w:rFonts w:hint="eastAsia" w:ascii="Times New Roman" w:hAnsi="Times New Roman" w:eastAsia="黑体" w:cs="Times New Roman"/>
          <w:sz w:val="32"/>
          <w:szCs w:val="32"/>
          <w:lang w:eastAsia="zh-CN"/>
        </w:rPr>
      </w:pPr>
    </w:p>
    <w:p>
      <w:pPr>
        <w:rPr>
          <w:rFonts w:ascii="Times New Roman" w:hAnsi="Times New Roman" w:eastAsia="黑体" w:cs="Times New Roman"/>
          <w:sz w:val="32"/>
          <w:szCs w:val="32"/>
        </w:rPr>
      </w:pPr>
      <w:r>
        <w:rPr>
          <w:rFonts w:ascii="Times New Roman" w:hAnsi="Times New Roman" w:eastAsia="黑体" w:cs="Times New Roman"/>
          <w:sz w:val="32"/>
          <w:szCs w:val="32"/>
        </w:rPr>
        <w:br w:type="page"/>
      </w:r>
      <w:r>
        <w:rPr>
          <w:rFonts w:hint="eastAsia" w:ascii="Times New Roman" w:hAnsi="Times New Roman" w:eastAsia="黑体" w:cs="Times New Roman"/>
          <w:sz w:val="32"/>
          <w:szCs w:val="32"/>
          <w:lang w:eastAsia="zh-CN"/>
        </w:rPr>
        <w:drawing>
          <wp:anchor distT="0" distB="0" distL="114300" distR="114300" simplePos="0" relativeHeight="251666432" behindDoc="0" locked="0" layoutInCell="1" allowOverlap="1">
            <wp:simplePos x="0" y="0"/>
            <wp:positionH relativeFrom="column">
              <wp:posOffset>-534670</wp:posOffset>
            </wp:positionH>
            <wp:positionV relativeFrom="paragraph">
              <wp:posOffset>-203200</wp:posOffset>
            </wp:positionV>
            <wp:extent cx="6337935" cy="6337935"/>
            <wp:effectExtent l="0" t="0" r="5715" b="5715"/>
            <wp:wrapNone/>
            <wp:docPr id="55" name="图片 55" descr="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服务贡献表_new"/>
                    <pic:cNvPicPr>
                      <a:picLocks noChangeAspect="1"/>
                    </pic:cNvPicPr>
                  </pic:nvPicPr>
                  <pic:blipFill>
                    <a:blip r:embed="rId56"/>
                    <a:stretch>
                      <a:fillRect/>
                    </a:stretch>
                  </pic:blipFill>
                  <pic:spPr>
                    <a:xfrm>
                      <a:off x="0" y="0"/>
                      <a:ext cx="6337935" cy="6337935"/>
                    </a:xfrm>
                    <a:prstGeom prst="rect">
                      <a:avLst/>
                    </a:prstGeom>
                  </pic:spPr>
                </pic:pic>
              </a:graphicData>
            </a:graphic>
          </wp:anchor>
        </w:drawing>
      </w:r>
    </w:p>
    <w:p>
      <w:pPr>
        <w:jc w:val="center"/>
        <w:outlineLvl w:val="1"/>
        <w:rPr>
          <w:rFonts w:ascii="Times New Roman" w:hAnsi="Times New Roman" w:eastAsia="黑体" w:cs="Times New Roman"/>
          <w:sz w:val="32"/>
          <w:szCs w:val="32"/>
        </w:rPr>
      </w:pPr>
      <w:bookmarkStart w:id="132" w:name="_Toc12856"/>
      <w:r>
        <w:rPr>
          <w:rFonts w:ascii="Times New Roman" w:hAnsi="Times New Roman" w:eastAsia="黑体" w:cs="Times New Roman"/>
          <w:sz w:val="32"/>
          <w:szCs w:val="32"/>
        </w:rPr>
        <w:t>表5  国际影响表</w:t>
      </w:r>
      <w:bookmarkEnd w:id="132"/>
    </w:p>
    <w:p>
      <w:pPr>
        <w:jc w:val="center"/>
        <w:outlineLvl w:val="1"/>
        <w:rPr>
          <w:rFonts w:hint="eastAsia"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drawing>
          <wp:anchor distT="0" distB="0" distL="114300" distR="114300" simplePos="0" relativeHeight="251667456" behindDoc="0" locked="0" layoutInCell="1" allowOverlap="1">
            <wp:simplePos x="0" y="0"/>
            <wp:positionH relativeFrom="column">
              <wp:posOffset>-528955</wp:posOffset>
            </wp:positionH>
            <wp:positionV relativeFrom="paragraph">
              <wp:posOffset>165100</wp:posOffset>
            </wp:positionV>
            <wp:extent cx="6322060" cy="6773545"/>
            <wp:effectExtent l="0" t="0" r="2540" b="8255"/>
            <wp:wrapNone/>
            <wp:docPr id="56" name="图片 56" descr="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国际影响表_new"/>
                    <pic:cNvPicPr>
                      <a:picLocks noChangeAspect="1"/>
                    </pic:cNvPicPr>
                  </pic:nvPicPr>
                  <pic:blipFill>
                    <a:blip r:embed="rId57"/>
                    <a:stretch>
                      <a:fillRect/>
                    </a:stretch>
                  </pic:blipFill>
                  <pic:spPr>
                    <a:xfrm>
                      <a:off x="0" y="0"/>
                      <a:ext cx="6322060" cy="6773545"/>
                    </a:xfrm>
                    <a:prstGeom prst="rect">
                      <a:avLst/>
                    </a:prstGeom>
                  </pic:spPr>
                </pic:pic>
              </a:graphicData>
            </a:graphic>
          </wp:anchor>
        </w:drawing>
      </w:r>
    </w:p>
    <w:p>
      <w:pPr>
        <w:jc w:val="center"/>
        <w:outlineLvl w:val="1"/>
        <w:rPr>
          <w:rFonts w:ascii="Times New Roman" w:hAnsi="Times New Roman" w:eastAsia="黑体" w:cs="Times New Roman"/>
          <w:sz w:val="32"/>
          <w:szCs w:val="32"/>
        </w:rPr>
      </w:pPr>
      <w:r>
        <w:rPr>
          <w:rFonts w:ascii="Times New Roman" w:hAnsi="Times New Roman" w:eastAsia="黑体" w:cs="Times New Roman"/>
          <w:sz w:val="32"/>
          <w:szCs w:val="32"/>
        </w:rPr>
        <w:br w:type="page"/>
      </w:r>
      <w:bookmarkStart w:id="133" w:name="_Toc10171"/>
      <w:r>
        <w:rPr>
          <w:rFonts w:ascii="Times New Roman" w:hAnsi="Times New Roman" w:eastAsia="黑体" w:cs="Times New Roman"/>
          <w:sz w:val="32"/>
          <w:szCs w:val="32"/>
        </w:rPr>
        <w:t>表6  落实政策表</w:t>
      </w:r>
      <w:bookmarkEnd w:id="133"/>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jc w:val="both"/>
        <w:textAlignment w:val="auto"/>
        <w:outlineLvl w:val="9"/>
        <w:rPr>
          <w:rFonts w:hint="default" w:ascii="仿宋" w:hAnsi="仿宋" w:eastAsia="仿宋" w:cs="宋体"/>
          <w:b/>
          <w:bCs/>
          <w:color w:val="auto"/>
          <w:sz w:val="32"/>
          <w:szCs w:val="32"/>
          <w:lang w:val="en-US" w:eastAsia="zh-CN"/>
        </w:rPr>
      </w:pPr>
      <w:r>
        <w:rPr>
          <w:rFonts w:hint="eastAsia" w:ascii="Times New Roman" w:hAnsi="Times New Roman" w:eastAsia="黑体" w:cs="Times New Roman"/>
          <w:sz w:val="32"/>
          <w:szCs w:val="32"/>
          <w:lang w:eastAsia="zh-CN"/>
        </w:rPr>
        <w:drawing>
          <wp:anchor distT="0" distB="0" distL="114300" distR="114300" simplePos="0" relativeHeight="251669504" behindDoc="0" locked="0" layoutInCell="1" allowOverlap="1">
            <wp:simplePos x="0" y="0"/>
            <wp:positionH relativeFrom="column">
              <wp:posOffset>-206375</wp:posOffset>
            </wp:positionH>
            <wp:positionV relativeFrom="paragraph">
              <wp:posOffset>131445</wp:posOffset>
            </wp:positionV>
            <wp:extent cx="5773420" cy="6598285"/>
            <wp:effectExtent l="0" t="0" r="17780" b="12065"/>
            <wp:wrapNone/>
            <wp:docPr id="57" name="图片 57" descr="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落实政策表_new"/>
                    <pic:cNvPicPr>
                      <a:picLocks noChangeAspect="1"/>
                    </pic:cNvPicPr>
                  </pic:nvPicPr>
                  <pic:blipFill>
                    <a:blip r:embed="rId58"/>
                    <a:stretch>
                      <a:fillRect/>
                    </a:stretch>
                  </pic:blipFill>
                  <pic:spPr>
                    <a:xfrm>
                      <a:off x="0" y="0"/>
                      <a:ext cx="5773420" cy="6598285"/>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-857250</wp:posOffset>
            </wp:positionH>
            <wp:positionV relativeFrom="paragraph">
              <wp:posOffset>2217420</wp:posOffset>
            </wp:positionV>
            <wp:extent cx="5266690" cy="1295400"/>
            <wp:effectExtent l="0" t="0" r="0" b="0"/>
            <wp:wrapNone/>
            <wp:docPr id="61" name="图片 61" descr="e3bd5d4640703f74dd84d14747a0b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3bd5d4640703f74dd84d14747a0b57c"/>
                    <pic:cNvPicPr>
                      <a:picLocks noChangeAspect="1"/>
                    </pic:cNvPicPr>
                  </pic:nvPicPr>
                  <pic:blipFill>
                    <a:blip r:embed="rId59"/>
                    <a:stretch>
                      <a:fillRect/>
                    </a:stretch>
                  </pic:blipFill>
                  <pic:spPr>
                    <a:xfrm>
                      <a:off x="0" y="0"/>
                      <a:ext cx="5266690" cy="1295400"/>
                    </a:xfrm>
                    <a:prstGeom prst="rect">
                      <a:avLst/>
                    </a:prstGeom>
                  </pic:spPr>
                </pic:pic>
              </a:graphicData>
            </a:graphic>
          </wp:anchor>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1D58D8-EC3A-4057-AA12-75926621B55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9447F36C-056B-4C7A-BC00-5B14B577D919}"/>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3" w:fontKey="{F020449A-1804-421F-A4A3-515BEC823722}"/>
  </w:font>
  <w:font w:name="方正小标宋简体">
    <w:panose1 w:val="02000000000000000000"/>
    <w:charset w:val="86"/>
    <w:family w:val="auto"/>
    <w:pitch w:val="default"/>
    <w:sig w:usb0="00000001" w:usb1="080E0000" w:usb2="00000000" w:usb3="00000000" w:csb0="00040000" w:csb1="00000000"/>
    <w:embedRegular r:id="rId4" w:fontKey="{4C75AF53-DE25-4E8E-AD35-4A670F1AFEE0}"/>
  </w:font>
  <w:font w:name="楷体_GB2312">
    <w:panose1 w:val="02010609030101010101"/>
    <w:charset w:val="86"/>
    <w:family w:val="modern"/>
    <w:pitch w:val="default"/>
    <w:sig w:usb0="00000001" w:usb1="080E0000" w:usb2="00000000" w:usb3="00000000" w:csb0="00040000" w:csb1="00000000"/>
    <w:embedRegular r:id="rId5" w:fontKey="{558A068A-D9B6-4EBE-BC17-F8937AE98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xZDY4YWMzZmJkODQwYzEzN2EwMDJhZWQwMDVlYmUifQ=="/>
  </w:docVars>
  <w:rsids>
    <w:rsidRoot w:val="69A453AF"/>
    <w:rsid w:val="000118A6"/>
    <w:rsid w:val="000C3DA7"/>
    <w:rsid w:val="001925D9"/>
    <w:rsid w:val="0031711F"/>
    <w:rsid w:val="00445830"/>
    <w:rsid w:val="004B3D42"/>
    <w:rsid w:val="0058523E"/>
    <w:rsid w:val="007D1F1C"/>
    <w:rsid w:val="00A566D5"/>
    <w:rsid w:val="00AC3C37"/>
    <w:rsid w:val="00E13486"/>
    <w:rsid w:val="010158D6"/>
    <w:rsid w:val="011A6CB4"/>
    <w:rsid w:val="012515C4"/>
    <w:rsid w:val="01610122"/>
    <w:rsid w:val="017B2F92"/>
    <w:rsid w:val="01840BB9"/>
    <w:rsid w:val="01A050EF"/>
    <w:rsid w:val="01C34939"/>
    <w:rsid w:val="01E07299"/>
    <w:rsid w:val="01EC3E90"/>
    <w:rsid w:val="021C5027"/>
    <w:rsid w:val="025F2341"/>
    <w:rsid w:val="026003DA"/>
    <w:rsid w:val="026659F0"/>
    <w:rsid w:val="027B3666"/>
    <w:rsid w:val="029950B8"/>
    <w:rsid w:val="02A84987"/>
    <w:rsid w:val="02B32278"/>
    <w:rsid w:val="02E62FD5"/>
    <w:rsid w:val="02F40037"/>
    <w:rsid w:val="03025CAF"/>
    <w:rsid w:val="032C4E8C"/>
    <w:rsid w:val="034026E5"/>
    <w:rsid w:val="034A5312"/>
    <w:rsid w:val="035C5045"/>
    <w:rsid w:val="036A1510"/>
    <w:rsid w:val="03795BF7"/>
    <w:rsid w:val="037B196F"/>
    <w:rsid w:val="03863E70"/>
    <w:rsid w:val="038E1D2C"/>
    <w:rsid w:val="03912BC3"/>
    <w:rsid w:val="03A72764"/>
    <w:rsid w:val="03BD3D36"/>
    <w:rsid w:val="03C947DD"/>
    <w:rsid w:val="03F4527E"/>
    <w:rsid w:val="040F04A7"/>
    <w:rsid w:val="04465FF5"/>
    <w:rsid w:val="04510922"/>
    <w:rsid w:val="046F5DD8"/>
    <w:rsid w:val="04D87331"/>
    <w:rsid w:val="05322502"/>
    <w:rsid w:val="053E0EA6"/>
    <w:rsid w:val="055661F0"/>
    <w:rsid w:val="0582190D"/>
    <w:rsid w:val="05926AFC"/>
    <w:rsid w:val="05AB5E10"/>
    <w:rsid w:val="05D830A9"/>
    <w:rsid w:val="05F2223A"/>
    <w:rsid w:val="06451DC1"/>
    <w:rsid w:val="06701579"/>
    <w:rsid w:val="067F2C7F"/>
    <w:rsid w:val="069D079E"/>
    <w:rsid w:val="06A74829"/>
    <w:rsid w:val="06B55198"/>
    <w:rsid w:val="06D3561E"/>
    <w:rsid w:val="07043A2A"/>
    <w:rsid w:val="070F7E34"/>
    <w:rsid w:val="0729020E"/>
    <w:rsid w:val="073827AE"/>
    <w:rsid w:val="073C765F"/>
    <w:rsid w:val="074D3623"/>
    <w:rsid w:val="0777244E"/>
    <w:rsid w:val="07794418"/>
    <w:rsid w:val="07B70A9C"/>
    <w:rsid w:val="07F516C7"/>
    <w:rsid w:val="081E0B1B"/>
    <w:rsid w:val="08406CE4"/>
    <w:rsid w:val="086D14E1"/>
    <w:rsid w:val="0870581B"/>
    <w:rsid w:val="08836BD0"/>
    <w:rsid w:val="08A6123D"/>
    <w:rsid w:val="08F55D20"/>
    <w:rsid w:val="093305F6"/>
    <w:rsid w:val="094E71DE"/>
    <w:rsid w:val="09774987"/>
    <w:rsid w:val="097F35A8"/>
    <w:rsid w:val="09970B85"/>
    <w:rsid w:val="099A2423"/>
    <w:rsid w:val="09A22D5D"/>
    <w:rsid w:val="09D41DD9"/>
    <w:rsid w:val="0A2A66B6"/>
    <w:rsid w:val="0A474359"/>
    <w:rsid w:val="0A6C0264"/>
    <w:rsid w:val="0A733412"/>
    <w:rsid w:val="0AAC20E8"/>
    <w:rsid w:val="0ACA0AE6"/>
    <w:rsid w:val="0ACF434F"/>
    <w:rsid w:val="0ADA341F"/>
    <w:rsid w:val="0B09160F"/>
    <w:rsid w:val="0B136931"/>
    <w:rsid w:val="0B3C56EE"/>
    <w:rsid w:val="0B7A075E"/>
    <w:rsid w:val="0B835865"/>
    <w:rsid w:val="0B8C3FEE"/>
    <w:rsid w:val="0BA13F3D"/>
    <w:rsid w:val="0BA53A2D"/>
    <w:rsid w:val="0BD25EA5"/>
    <w:rsid w:val="0BE45BD8"/>
    <w:rsid w:val="0C3D1EB8"/>
    <w:rsid w:val="0C4F74F5"/>
    <w:rsid w:val="0C7E427E"/>
    <w:rsid w:val="0C922733"/>
    <w:rsid w:val="0D080344"/>
    <w:rsid w:val="0D10175C"/>
    <w:rsid w:val="0D336E17"/>
    <w:rsid w:val="0D366907"/>
    <w:rsid w:val="0D3758CE"/>
    <w:rsid w:val="0D676AC1"/>
    <w:rsid w:val="0DB00467"/>
    <w:rsid w:val="0DD028B8"/>
    <w:rsid w:val="0DEA45DA"/>
    <w:rsid w:val="0DED2CEB"/>
    <w:rsid w:val="0DF53EEB"/>
    <w:rsid w:val="0E197DBB"/>
    <w:rsid w:val="0E255633"/>
    <w:rsid w:val="0E680D42"/>
    <w:rsid w:val="0E85325F"/>
    <w:rsid w:val="0EA77ABC"/>
    <w:rsid w:val="0EAD3C7B"/>
    <w:rsid w:val="0EB6385C"/>
    <w:rsid w:val="0EB75826"/>
    <w:rsid w:val="0ED463D8"/>
    <w:rsid w:val="0EEC54CF"/>
    <w:rsid w:val="0F00541F"/>
    <w:rsid w:val="0F1D38DB"/>
    <w:rsid w:val="0F251C7F"/>
    <w:rsid w:val="0F6428F7"/>
    <w:rsid w:val="0F656199"/>
    <w:rsid w:val="0FC30926"/>
    <w:rsid w:val="0FDE23D0"/>
    <w:rsid w:val="101A2510"/>
    <w:rsid w:val="104804CF"/>
    <w:rsid w:val="10502152"/>
    <w:rsid w:val="10635C65"/>
    <w:rsid w:val="10894303"/>
    <w:rsid w:val="108F25B6"/>
    <w:rsid w:val="10C04426"/>
    <w:rsid w:val="11270A41"/>
    <w:rsid w:val="112A0531"/>
    <w:rsid w:val="114E2471"/>
    <w:rsid w:val="11535CDA"/>
    <w:rsid w:val="11B038B5"/>
    <w:rsid w:val="11D81D3B"/>
    <w:rsid w:val="11DB53FF"/>
    <w:rsid w:val="12042B30"/>
    <w:rsid w:val="121176AC"/>
    <w:rsid w:val="121A67F7"/>
    <w:rsid w:val="121F796A"/>
    <w:rsid w:val="126637EB"/>
    <w:rsid w:val="128679E9"/>
    <w:rsid w:val="128F5E85"/>
    <w:rsid w:val="12922832"/>
    <w:rsid w:val="12C624DB"/>
    <w:rsid w:val="12CD5618"/>
    <w:rsid w:val="13203999"/>
    <w:rsid w:val="13337B71"/>
    <w:rsid w:val="134715FB"/>
    <w:rsid w:val="134F427F"/>
    <w:rsid w:val="13756B6B"/>
    <w:rsid w:val="13AA7707"/>
    <w:rsid w:val="13C0517C"/>
    <w:rsid w:val="141379A2"/>
    <w:rsid w:val="1424570B"/>
    <w:rsid w:val="142E1CE8"/>
    <w:rsid w:val="14382F65"/>
    <w:rsid w:val="144B11AE"/>
    <w:rsid w:val="147A532B"/>
    <w:rsid w:val="148E16C1"/>
    <w:rsid w:val="14BC5944"/>
    <w:rsid w:val="15323E58"/>
    <w:rsid w:val="15A44D56"/>
    <w:rsid w:val="15BB1337"/>
    <w:rsid w:val="15D65294"/>
    <w:rsid w:val="15F1230F"/>
    <w:rsid w:val="15F34079"/>
    <w:rsid w:val="161D387B"/>
    <w:rsid w:val="162E0AC3"/>
    <w:rsid w:val="16544222"/>
    <w:rsid w:val="16A3500D"/>
    <w:rsid w:val="17214184"/>
    <w:rsid w:val="17562080"/>
    <w:rsid w:val="176A1687"/>
    <w:rsid w:val="176E561B"/>
    <w:rsid w:val="17793F39"/>
    <w:rsid w:val="17884E12"/>
    <w:rsid w:val="17A821AF"/>
    <w:rsid w:val="17B408BC"/>
    <w:rsid w:val="17DD3605"/>
    <w:rsid w:val="183C74C7"/>
    <w:rsid w:val="18475E6C"/>
    <w:rsid w:val="18786026"/>
    <w:rsid w:val="18910E95"/>
    <w:rsid w:val="189C7F66"/>
    <w:rsid w:val="18A60DE5"/>
    <w:rsid w:val="18DD40DB"/>
    <w:rsid w:val="18DD4584"/>
    <w:rsid w:val="19006747"/>
    <w:rsid w:val="192C2789"/>
    <w:rsid w:val="194963A9"/>
    <w:rsid w:val="195E16BF"/>
    <w:rsid w:val="19792055"/>
    <w:rsid w:val="19C71013"/>
    <w:rsid w:val="19D11E91"/>
    <w:rsid w:val="19EC7076"/>
    <w:rsid w:val="19F4792E"/>
    <w:rsid w:val="1A0A56DC"/>
    <w:rsid w:val="1A0F29BA"/>
    <w:rsid w:val="1A1D0C33"/>
    <w:rsid w:val="1A207CE6"/>
    <w:rsid w:val="1A50725A"/>
    <w:rsid w:val="1A5C0935"/>
    <w:rsid w:val="1A626F8D"/>
    <w:rsid w:val="1A64229A"/>
    <w:rsid w:val="1A65037C"/>
    <w:rsid w:val="1A654388"/>
    <w:rsid w:val="1A7F5449"/>
    <w:rsid w:val="1A8B4C12"/>
    <w:rsid w:val="1A9D2923"/>
    <w:rsid w:val="1AA44EB0"/>
    <w:rsid w:val="1ABA46D4"/>
    <w:rsid w:val="1AC90DBB"/>
    <w:rsid w:val="1AD80FFE"/>
    <w:rsid w:val="1ADC0AEE"/>
    <w:rsid w:val="1AE259D8"/>
    <w:rsid w:val="1AF701D1"/>
    <w:rsid w:val="1B021A39"/>
    <w:rsid w:val="1B222279"/>
    <w:rsid w:val="1B3C158C"/>
    <w:rsid w:val="1B410EA6"/>
    <w:rsid w:val="1B7A3E63"/>
    <w:rsid w:val="1B8810A7"/>
    <w:rsid w:val="1BAB4C0A"/>
    <w:rsid w:val="1BB32B0D"/>
    <w:rsid w:val="1BB76E65"/>
    <w:rsid w:val="1BDE2644"/>
    <w:rsid w:val="1BED2887"/>
    <w:rsid w:val="1C752FA8"/>
    <w:rsid w:val="1C890801"/>
    <w:rsid w:val="1C8D1C9B"/>
    <w:rsid w:val="1CAC629E"/>
    <w:rsid w:val="1CC2405F"/>
    <w:rsid w:val="1CEE4B08"/>
    <w:rsid w:val="1D0D31E0"/>
    <w:rsid w:val="1D5E06E4"/>
    <w:rsid w:val="1D6923E1"/>
    <w:rsid w:val="1D6B6159"/>
    <w:rsid w:val="1D6B7F07"/>
    <w:rsid w:val="1D7A215F"/>
    <w:rsid w:val="1D8D4321"/>
    <w:rsid w:val="1D8F0099"/>
    <w:rsid w:val="1DA04055"/>
    <w:rsid w:val="1DBA28FB"/>
    <w:rsid w:val="1DBA49EB"/>
    <w:rsid w:val="1DDC2BB3"/>
    <w:rsid w:val="1DE026A3"/>
    <w:rsid w:val="1E122A78"/>
    <w:rsid w:val="1E4C5F8A"/>
    <w:rsid w:val="1E5B441F"/>
    <w:rsid w:val="1EB51D82"/>
    <w:rsid w:val="1F3233D2"/>
    <w:rsid w:val="1F3C5FFF"/>
    <w:rsid w:val="1F434C48"/>
    <w:rsid w:val="1F817EB6"/>
    <w:rsid w:val="1F9C6A9E"/>
    <w:rsid w:val="1FB57B5F"/>
    <w:rsid w:val="1FE9219A"/>
    <w:rsid w:val="20146634"/>
    <w:rsid w:val="201725C8"/>
    <w:rsid w:val="204333BD"/>
    <w:rsid w:val="2057365A"/>
    <w:rsid w:val="206770AC"/>
    <w:rsid w:val="20713A86"/>
    <w:rsid w:val="20BB4EC2"/>
    <w:rsid w:val="20F14AC1"/>
    <w:rsid w:val="216061A2"/>
    <w:rsid w:val="217001E2"/>
    <w:rsid w:val="217A2E0F"/>
    <w:rsid w:val="217D645B"/>
    <w:rsid w:val="218F6F47"/>
    <w:rsid w:val="21953D7D"/>
    <w:rsid w:val="21AE3327"/>
    <w:rsid w:val="21B209BC"/>
    <w:rsid w:val="21ED35E0"/>
    <w:rsid w:val="221B63A0"/>
    <w:rsid w:val="221E0366"/>
    <w:rsid w:val="22680EB9"/>
    <w:rsid w:val="226F3FF6"/>
    <w:rsid w:val="22885DA6"/>
    <w:rsid w:val="228A52D3"/>
    <w:rsid w:val="22AA7723"/>
    <w:rsid w:val="22B1460E"/>
    <w:rsid w:val="22CD6F6E"/>
    <w:rsid w:val="22FB7F7F"/>
    <w:rsid w:val="23322C01"/>
    <w:rsid w:val="23490CEA"/>
    <w:rsid w:val="234C4337"/>
    <w:rsid w:val="235002CB"/>
    <w:rsid w:val="23863CED"/>
    <w:rsid w:val="23B819CC"/>
    <w:rsid w:val="23CE11F0"/>
    <w:rsid w:val="23DA5DE6"/>
    <w:rsid w:val="24084702"/>
    <w:rsid w:val="245E7049"/>
    <w:rsid w:val="24771262"/>
    <w:rsid w:val="248D2E59"/>
    <w:rsid w:val="249661B1"/>
    <w:rsid w:val="24BB79C6"/>
    <w:rsid w:val="24C2539B"/>
    <w:rsid w:val="24C34ACD"/>
    <w:rsid w:val="24CD76F9"/>
    <w:rsid w:val="25001CF4"/>
    <w:rsid w:val="25050C41"/>
    <w:rsid w:val="25461985"/>
    <w:rsid w:val="259F0E5A"/>
    <w:rsid w:val="25B34B41"/>
    <w:rsid w:val="2628108B"/>
    <w:rsid w:val="265B763B"/>
    <w:rsid w:val="26810D84"/>
    <w:rsid w:val="26A7782B"/>
    <w:rsid w:val="26BE19EF"/>
    <w:rsid w:val="26DD1E76"/>
    <w:rsid w:val="26F472C2"/>
    <w:rsid w:val="27037402"/>
    <w:rsid w:val="270C4CF9"/>
    <w:rsid w:val="27111B1F"/>
    <w:rsid w:val="27447C68"/>
    <w:rsid w:val="274C2B57"/>
    <w:rsid w:val="275814FC"/>
    <w:rsid w:val="275D4D64"/>
    <w:rsid w:val="27644240"/>
    <w:rsid w:val="276F6846"/>
    <w:rsid w:val="279B588D"/>
    <w:rsid w:val="27E47234"/>
    <w:rsid w:val="27F37477"/>
    <w:rsid w:val="27FA0805"/>
    <w:rsid w:val="28186EDD"/>
    <w:rsid w:val="283261F1"/>
    <w:rsid w:val="28C55A91"/>
    <w:rsid w:val="28F434A6"/>
    <w:rsid w:val="293B2E83"/>
    <w:rsid w:val="294A30C6"/>
    <w:rsid w:val="2967011C"/>
    <w:rsid w:val="2984482A"/>
    <w:rsid w:val="29E51041"/>
    <w:rsid w:val="29E7300B"/>
    <w:rsid w:val="2A016898"/>
    <w:rsid w:val="2A187669"/>
    <w:rsid w:val="2A375037"/>
    <w:rsid w:val="2A4D0B0D"/>
    <w:rsid w:val="2A64468F"/>
    <w:rsid w:val="2A9F7442"/>
    <w:rsid w:val="2ADC2444"/>
    <w:rsid w:val="2AF05EF0"/>
    <w:rsid w:val="2B342280"/>
    <w:rsid w:val="2B6A7A50"/>
    <w:rsid w:val="2B8054C5"/>
    <w:rsid w:val="2B874618"/>
    <w:rsid w:val="2B8A00F2"/>
    <w:rsid w:val="2BC73944"/>
    <w:rsid w:val="2C406B7F"/>
    <w:rsid w:val="2C4E2ECE"/>
    <w:rsid w:val="2C617BB6"/>
    <w:rsid w:val="2C7C04FF"/>
    <w:rsid w:val="2C932FD6"/>
    <w:rsid w:val="2C9805ED"/>
    <w:rsid w:val="2CAB3672"/>
    <w:rsid w:val="2CB63865"/>
    <w:rsid w:val="2CCD64E8"/>
    <w:rsid w:val="2D2D673F"/>
    <w:rsid w:val="2D594220"/>
    <w:rsid w:val="2D7465D7"/>
    <w:rsid w:val="2DAC3BFD"/>
    <w:rsid w:val="2E220AB6"/>
    <w:rsid w:val="2E232138"/>
    <w:rsid w:val="2E283152"/>
    <w:rsid w:val="2E2D7583"/>
    <w:rsid w:val="2E3507E9"/>
    <w:rsid w:val="2E67471B"/>
    <w:rsid w:val="2E8157DC"/>
    <w:rsid w:val="2E9F2106"/>
    <w:rsid w:val="2EC8340B"/>
    <w:rsid w:val="2EE30245"/>
    <w:rsid w:val="2EE93382"/>
    <w:rsid w:val="2EEF4804"/>
    <w:rsid w:val="2F032695"/>
    <w:rsid w:val="2F2148C9"/>
    <w:rsid w:val="2F397E65"/>
    <w:rsid w:val="2F5922B5"/>
    <w:rsid w:val="2FB614B6"/>
    <w:rsid w:val="2FEC2819"/>
    <w:rsid w:val="301C6E1F"/>
    <w:rsid w:val="30201025"/>
    <w:rsid w:val="3029612C"/>
    <w:rsid w:val="303F76FD"/>
    <w:rsid w:val="306929CC"/>
    <w:rsid w:val="307355F9"/>
    <w:rsid w:val="30890898"/>
    <w:rsid w:val="308E2433"/>
    <w:rsid w:val="309B5472"/>
    <w:rsid w:val="30F77FD8"/>
    <w:rsid w:val="30FC55EE"/>
    <w:rsid w:val="311961A0"/>
    <w:rsid w:val="312C3DE1"/>
    <w:rsid w:val="314761CD"/>
    <w:rsid w:val="31605B7D"/>
    <w:rsid w:val="31615451"/>
    <w:rsid w:val="318B24CE"/>
    <w:rsid w:val="31EF6F01"/>
    <w:rsid w:val="31FB2D67"/>
    <w:rsid w:val="320838F6"/>
    <w:rsid w:val="32263A35"/>
    <w:rsid w:val="32406E5C"/>
    <w:rsid w:val="325B00F2"/>
    <w:rsid w:val="325F2834"/>
    <w:rsid w:val="32755658"/>
    <w:rsid w:val="327B0795"/>
    <w:rsid w:val="3293262D"/>
    <w:rsid w:val="32957AA8"/>
    <w:rsid w:val="329A50BF"/>
    <w:rsid w:val="329D4BAF"/>
    <w:rsid w:val="32A23F73"/>
    <w:rsid w:val="32A63A63"/>
    <w:rsid w:val="32BF2D77"/>
    <w:rsid w:val="32C1186A"/>
    <w:rsid w:val="32CE6B16"/>
    <w:rsid w:val="32FC7B27"/>
    <w:rsid w:val="32FF13C6"/>
    <w:rsid w:val="336D531B"/>
    <w:rsid w:val="33BD6A94"/>
    <w:rsid w:val="33FF738F"/>
    <w:rsid w:val="340824FC"/>
    <w:rsid w:val="340E6DF2"/>
    <w:rsid w:val="34190C00"/>
    <w:rsid w:val="341D7D55"/>
    <w:rsid w:val="342A6842"/>
    <w:rsid w:val="344264B7"/>
    <w:rsid w:val="34433534"/>
    <w:rsid w:val="348A2F11"/>
    <w:rsid w:val="34940CFD"/>
    <w:rsid w:val="34B3571D"/>
    <w:rsid w:val="34E24AFB"/>
    <w:rsid w:val="34F767F8"/>
    <w:rsid w:val="34FF38FF"/>
    <w:rsid w:val="351E5831"/>
    <w:rsid w:val="352B64A2"/>
    <w:rsid w:val="352C5D76"/>
    <w:rsid w:val="355A5027"/>
    <w:rsid w:val="358D0F0B"/>
    <w:rsid w:val="35A973C7"/>
    <w:rsid w:val="36267958"/>
    <w:rsid w:val="364A6DFC"/>
    <w:rsid w:val="365732C7"/>
    <w:rsid w:val="365E2DFF"/>
    <w:rsid w:val="367A6645"/>
    <w:rsid w:val="3699568D"/>
    <w:rsid w:val="369D6F2B"/>
    <w:rsid w:val="36BB1AA7"/>
    <w:rsid w:val="36D44917"/>
    <w:rsid w:val="36D861B6"/>
    <w:rsid w:val="37490E61"/>
    <w:rsid w:val="376E08C8"/>
    <w:rsid w:val="37781747"/>
    <w:rsid w:val="37A23C7A"/>
    <w:rsid w:val="37A61E10"/>
    <w:rsid w:val="37FC4126"/>
    <w:rsid w:val="38082ACA"/>
    <w:rsid w:val="38156F95"/>
    <w:rsid w:val="384634B9"/>
    <w:rsid w:val="385900D0"/>
    <w:rsid w:val="385B4CC2"/>
    <w:rsid w:val="38855EC9"/>
    <w:rsid w:val="38AC5B4C"/>
    <w:rsid w:val="38C57961"/>
    <w:rsid w:val="38D70687"/>
    <w:rsid w:val="38EC419A"/>
    <w:rsid w:val="390D0E59"/>
    <w:rsid w:val="39111D6B"/>
    <w:rsid w:val="39137979"/>
    <w:rsid w:val="39241B86"/>
    <w:rsid w:val="39290F4A"/>
    <w:rsid w:val="393873DF"/>
    <w:rsid w:val="39693A3D"/>
    <w:rsid w:val="398B5761"/>
    <w:rsid w:val="39A6259B"/>
    <w:rsid w:val="39E9692C"/>
    <w:rsid w:val="39F71049"/>
    <w:rsid w:val="3A0E0140"/>
    <w:rsid w:val="3A4B6C9E"/>
    <w:rsid w:val="3A62137E"/>
    <w:rsid w:val="3AF410E4"/>
    <w:rsid w:val="3AFC5296"/>
    <w:rsid w:val="3B296A79"/>
    <w:rsid w:val="3B7D37CF"/>
    <w:rsid w:val="3B7F12F6"/>
    <w:rsid w:val="3B8B304F"/>
    <w:rsid w:val="3BA0301A"/>
    <w:rsid w:val="3BD827B4"/>
    <w:rsid w:val="3BFC64A2"/>
    <w:rsid w:val="3C0D6901"/>
    <w:rsid w:val="3C12216A"/>
    <w:rsid w:val="3C371BD0"/>
    <w:rsid w:val="3C44609B"/>
    <w:rsid w:val="3C4F6F1A"/>
    <w:rsid w:val="3C797AF3"/>
    <w:rsid w:val="3C850B8E"/>
    <w:rsid w:val="3CAA23A2"/>
    <w:rsid w:val="3CB04B3A"/>
    <w:rsid w:val="3CB43221"/>
    <w:rsid w:val="3CC03974"/>
    <w:rsid w:val="3CE75344"/>
    <w:rsid w:val="3CEA6C43"/>
    <w:rsid w:val="3CF96E86"/>
    <w:rsid w:val="3D685ED8"/>
    <w:rsid w:val="3D6D517E"/>
    <w:rsid w:val="3D73084C"/>
    <w:rsid w:val="3D903FF5"/>
    <w:rsid w:val="3D9D1F07"/>
    <w:rsid w:val="3DA975A1"/>
    <w:rsid w:val="3DAE6876"/>
    <w:rsid w:val="3DB42063"/>
    <w:rsid w:val="3DBF59D9"/>
    <w:rsid w:val="3DDC2A2F"/>
    <w:rsid w:val="3E0C4997"/>
    <w:rsid w:val="3E412892"/>
    <w:rsid w:val="3E860BED"/>
    <w:rsid w:val="3E9E1A93"/>
    <w:rsid w:val="3EAE3767"/>
    <w:rsid w:val="3EF73899"/>
    <w:rsid w:val="3F116709"/>
    <w:rsid w:val="3F3D1729"/>
    <w:rsid w:val="3F5744EE"/>
    <w:rsid w:val="3F984734"/>
    <w:rsid w:val="3F994B26"/>
    <w:rsid w:val="3F9D61EE"/>
    <w:rsid w:val="3FA27B9B"/>
    <w:rsid w:val="3FC419CD"/>
    <w:rsid w:val="3FEE6372"/>
    <w:rsid w:val="3FFC2089"/>
    <w:rsid w:val="3FFF47B3"/>
    <w:rsid w:val="400E2C48"/>
    <w:rsid w:val="404A41B9"/>
    <w:rsid w:val="404D19C2"/>
    <w:rsid w:val="40556AC9"/>
    <w:rsid w:val="40731B26"/>
    <w:rsid w:val="407C22A8"/>
    <w:rsid w:val="408F1165"/>
    <w:rsid w:val="40C61775"/>
    <w:rsid w:val="40C91210"/>
    <w:rsid w:val="40FA4F7A"/>
    <w:rsid w:val="414172FF"/>
    <w:rsid w:val="41566655"/>
    <w:rsid w:val="415F0E65"/>
    <w:rsid w:val="41AF7281"/>
    <w:rsid w:val="41D86A36"/>
    <w:rsid w:val="41DA54D8"/>
    <w:rsid w:val="41E85CC8"/>
    <w:rsid w:val="41EC520B"/>
    <w:rsid w:val="424566C9"/>
    <w:rsid w:val="425513E8"/>
    <w:rsid w:val="425869BE"/>
    <w:rsid w:val="42633AA2"/>
    <w:rsid w:val="426815FC"/>
    <w:rsid w:val="4278084D"/>
    <w:rsid w:val="429C09DF"/>
    <w:rsid w:val="42AC04F6"/>
    <w:rsid w:val="42E163F2"/>
    <w:rsid w:val="430420E0"/>
    <w:rsid w:val="43776EDB"/>
    <w:rsid w:val="43912BFC"/>
    <w:rsid w:val="43B753A5"/>
    <w:rsid w:val="43C006FD"/>
    <w:rsid w:val="43F00A23"/>
    <w:rsid w:val="4420062B"/>
    <w:rsid w:val="4451476D"/>
    <w:rsid w:val="44636911"/>
    <w:rsid w:val="446654EC"/>
    <w:rsid w:val="44A23AB7"/>
    <w:rsid w:val="44A41DCD"/>
    <w:rsid w:val="44E87F0C"/>
    <w:rsid w:val="44F22B38"/>
    <w:rsid w:val="44F87A23"/>
    <w:rsid w:val="45140D01"/>
    <w:rsid w:val="452858DF"/>
    <w:rsid w:val="4550160D"/>
    <w:rsid w:val="4560640C"/>
    <w:rsid w:val="45650085"/>
    <w:rsid w:val="45A3379C"/>
    <w:rsid w:val="45C85647"/>
    <w:rsid w:val="45D1274E"/>
    <w:rsid w:val="45E362A6"/>
    <w:rsid w:val="45EF52CA"/>
    <w:rsid w:val="4617294C"/>
    <w:rsid w:val="46603AD2"/>
    <w:rsid w:val="466518C0"/>
    <w:rsid w:val="46A16181"/>
    <w:rsid w:val="47354F5E"/>
    <w:rsid w:val="47811F51"/>
    <w:rsid w:val="479779C7"/>
    <w:rsid w:val="47A144DD"/>
    <w:rsid w:val="47AF2F63"/>
    <w:rsid w:val="47CA1A36"/>
    <w:rsid w:val="48164D90"/>
    <w:rsid w:val="48382F58"/>
    <w:rsid w:val="484F0CF6"/>
    <w:rsid w:val="48C06AA9"/>
    <w:rsid w:val="48D6451F"/>
    <w:rsid w:val="493C0826"/>
    <w:rsid w:val="49555444"/>
    <w:rsid w:val="49855537"/>
    <w:rsid w:val="499046CE"/>
    <w:rsid w:val="499248EA"/>
    <w:rsid w:val="499A0965"/>
    <w:rsid w:val="499C7517"/>
    <w:rsid w:val="49A81A17"/>
    <w:rsid w:val="49BE123B"/>
    <w:rsid w:val="49C75295"/>
    <w:rsid w:val="49D7145A"/>
    <w:rsid w:val="49DC3DB7"/>
    <w:rsid w:val="49EA64D4"/>
    <w:rsid w:val="49EE7713"/>
    <w:rsid w:val="4A001853"/>
    <w:rsid w:val="4A0F7CE8"/>
    <w:rsid w:val="4A1700A8"/>
    <w:rsid w:val="4A2A4B22"/>
    <w:rsid w:val="4A3328D7"/>
    <w:rsid w:val="4A504181"/>
    <w:rsid w:val="4A7D10F6"/>
    <w:rsid w:val="4ABA40F8"/>
    <w:rsid w:val="4ADF590D"/>
    <w:rsid w:val="4AF60EA8"/>
    <w:rsid w:val="4B0E08CB"/>
    <w:rsid w:val="4B3F45FD"/>
    <w:rsid w:val="4B4614E8"/>
    <w:rsid w:val="4B4F2BA1"/>
    <w:rsid w:val="4B661B8A"/>
    <w:rsid w:val="4B850B76"/>
    <w:rsid w:val="4B991F60"/>
    <w:rsid w:val="4BB46D99"/>
    <w:rsid w:val="4BBB220E"/>
    <w:rsid w:val="4C15710C"/>
    <w:rsid w:val="4C22797E"/>
    <w:rsid w:val="4C344283"/>
    <w:rsid w:val="4C44431E"/>
    <w:rsid w:val="4C4460A7"/>
    <w:rsid w:val="4C77060E"/>
    <w:rsid w:val="4CB70475"/>
    <w:rsid w:val="4CE0771A"/>
    <w:rsid w:val="4CE7494C"/>
    <w:rsid w:val="4CFA2148"/>
    <w:rsid w:val="4D0B0C3B"/>
    <w:rsid w:val="4D2551F3"/>
    <w:rsid w:val="4D4C3002"/>
    <w:rsid w:val="4D8C7F93"/>
    <w:rsid w:val="4D9549A9"/>
    <w:rsid w:val="4DAE0576"/>
    <w:rsid w:val="4DB82F9B"/>
    <w:rsid w:val="4DF74D1B"/>
    <w:rsid w:val="4E1753BE"/>
    <w:rsid w:val="4E3E193B"/>
    <w:rsid w:val="4E434405"/>
    <w:rsid w:val="4E437370"/>
    <w:rsid w:val="4E7B76FB"/>
    <w:rsid w:val="4E7F3FCD"/>
    <w:rsid w:val="4E86609F"/>
    <w:rsid w:val="4E8C7B5A"/>
    <w:rsid w:val="4EAD5D22"/>
    <w:rsid w:val="4EB21168"/>
    <w:rsid w:val="4EB250E6"/>
    <w:rsid w:val="4EDA225E"/>
    <w:rsid w:val="4F0040A4"/>
    <w:rsid w:val="4F2A62EA"/>
    <w:rsid w:val="4F4641AC"/>
    <w:rsid w:val="4F637D4D"/>
    <w:rsid w:val="4F771D84"/>
    <w:rsid w:val="4F7A5C04"/>
    <w:rsid w:val="4FC11A85"/>
    <w:rsid w:val="4FED287A"/>
    <w:rsid w:val="50212585"/>
    <w:rsid w:val="502F0679"/>
    <w:rsid w:val="50342257"/>
    <w:rsid w:val="50346B8B"/>
    <w:rsid w:val="504A7CCC"/>
    <w:rsid w:val="506F14E1"/>
    <w:rsid w:val="5079410E"/>
    <w:rsid w:val="507B7E86"/>
    <w:rsid w:val="50872701"/>
    <w:rsid w:val="50903205"/>
    <w:rsid w:val="50A679C0"/>
    <w:rsid w:val="50D17AA6"/>
    <w:rsid w:val="50DE6468"/>
    <w:rsid w:val="50E61077"/>
    <w:rsid w:val="50ED2406"/>
    <w:rsid w:val="50F47C38"/>
    <w:rsid w:val="50F75CC3"/>
    <w:rsid w:val="51031C29"/>
    <w:rsid w:val="510C31D4"/>
    <w:rsid w:val="5119769F"/>
    <w:rsid w:val="511D047B"/>
    <w:rsid w:val="517B51EF"/>
    <w:rsid w:val="517D19DC"/>
    <w:rsid w:val="51A91E4D"/>
    <w:rsid w:val="51E27A91"/>
    <w:rsid w:val="52140592"/>
    <w:rsid w:val="523453C3"/>
    <w:rsid w:val="523F1387"/>
    <w:rsid w:val="526B5CD8"/>
    <w:rsid w:val="52754DA9"/>
    <w:rsid w:val="528154FB"/>
    <w:rsid w:val="529E31AB"/>
    <w:rsid w:val="52CA29FF"/>
    <w:rsid w:val="530E027A"/>
    <w:rsid w:val="530F68B5"/>
    <w:rsid w:val="53400F13"/>
    <w:rsid w:val="534A7FE3"/>
    <w:rsid w:val="53582700"/>
    <w:rsid w:val="536947D4"/>
    <w:rsid w:val="539F20DD"/>
    <w:rsid w:val="53CB1124"/>
    <w:rsid w:val="53E35FEF"/>
    <w:rsid w:val="5402266C"/>
    <w:rsid w:val="541F4FCC"/>
    <w:rsid w:val="542919A7"/>
    <w:rsid w:val="54324CFF"/>
    <w:rsid w:val="54607A72"/>
    <w:rsid w:val="5463583A"/>
    <w:rsid w:val="54684BC5"/>
    <w:rsid w:val="54B971CF"/>
    <w:rsid w:val="54D20E97"/>
    <w:rsid w:val="54EE24B5"/>
    <w:rsid w:val="551408A9"/>
    <w:rsid w:val="551C150B"/>
    <w:rsid w:val="55570796"/>
    <w:rsid w:val="558028C3"/>
    <w:rsid w:val="55A21A11"/>
    <w:rsid w:val="55B6629E"/>
    <w:rsid w:val="55BB0D24"/>
    <w:rsid w:val="55D32512"/>
    <w:rsid w:val="55DD4DFB"/>
    <w:rsid w:val="55DD513F"/>
    <w:rsid w:val="55ED52BB"/>
    <w:rsid w:val="56064695"/>
    <w:rsid w:val="561843C9"/>
    <w:rsid w:val="562C71DD"/>
    <w:rsid w:val="56440D1A"/>
    <w:rsid w:val="564D4072"/>
    <w:rsid w:val="566933D0"/>
    <w:rsid w:val="56717337"/>
    <w:rsid w:val="56811F6E"/>
    <w:rsid w:val="56A97CB3"/>
    <w:rsid w:val="56AB2B47"/>
    <w:rsid w:val="56B76FEB"/>
    <w:rsid w:val="56E36785"/>
    <w:rsid w:val="56E60023"/>
    <w:rsid w:val="56F664B8"/>
    <w:rsid w:val="56FC15F5"/>
    <w:rsid w:val="570A2A4F"/>
    <w:rsid w:val="573838FA"/>
    <w:rsid w:val="573B036F"/>
    <w:rsid w:val="57527466"/>
    <w:rsid w:val="575E405D"/>
    <w:rsid w:val="577949F3"/>
    <w:rsid w:val="5789732C"/>
    <w:rsid w:val="578A30A4"/>
    <w:rsid w:val="57A32E83"/>
    <w:rsid w:val="57C06B72"/>
    <w:rsid w:val="57C93271"/>
    <w:rsid w:val="57D5459B"/>
    <w:rsid w:val="57DD4F82"/>
    <w:rsid w:val="57F8000E"/>
    <w:rsid w:val="58005114"/>
    <w:rsid w:val="58022C3B"/>
    <w:rsid w:val="587F21D9"/>
    <w:rsid w:val="58871392"/>
    <w:rsid w:val="589A7317"/>
    <w:rsid w:val="58A957AC"/>
    <w:rsid w:val="58AB5080"/>
    <w:rsid w:val="58B86690"/>
    <w:rsid w:val="58C17586"/>
    <w:rsid w:val="59042A5A"/>
    <w:rsid w:val="5923730C"/>
    <w:rsid w:val="592A5FEB"/>
    <w:rsid w:val="593C03CE"/>
    <w:rsid w:val="594828CF"/>
    <w:rsid w:val="595E6596"/>
    <w:rsid w:val="59B2243E"/>
    <w:rsid w:val="59E9544C"/>
    <w:rsid w:val="5A3966BC"/>
    <w:rsid w:val="5A511C57"/>
    <w:rsid w:val="5A553389"/>
    <w:rsid w:val="5A706581"/>
    <w:rsid w:val="5AB5301E"/>
    <w:rsid w:val="5AE91E90"/>
    <w:rsid w:val="5B1D7906"/>
    <w:rsid w:val="5B4C460E"/>
    <w:rsid w:val="5B523ED9"/>
    <w:rsid w:val="5B53055A"/>
    <w:rsid w:val="5BAA7871"/>
    <w:rsid w:val="5BDE751B"/>
    <w:rsid w:val="5BFE196B"/>
    <w:rsid w:val="5C1336D8"/>
    <w:rsid w:val="5C2277F9"/>
    <w:rsid w:val="5C6A7000"/>
    <w:rsid w:val="5C702869"/>
    <w:rsid w:val="5C8B76A2"/>
    <w:rsid w:val="5C95407D"/>
    <w:rsid w:val="5CA6628A"/>
    <w:rsid w:val="5D137698"/>
    <w:rsid w:val="5D211DB5"/>
    <w:rsid w:val="5D26561D"/>
    <w:rsid w:val="5D4D4958"/>
    <w:rsid w:val="5D543F38"/>
    <w:rsid w:val="5D610403"/>
    <w:rsid w:val="5D886E5E"/>
    <w:rsid w:val="5D9E6F62"/>
    <w:rsid w:val="5DAD3649"/>
    <w:rsid w:val="5DCC7F73"/>
    <w:rsid w:val="5DF34A61"/>
    <w:rsid w:val="5E2D4789"/>
    <w:rsid w:val="5E3B6EA6"/>
    <w:rsid w:val="5E425B6A"/>
    <w:rsid w:val="5E436543"/>
    <w:rsid w:val="5E624433"/>
    <w:rsid w:val="5E723D24"/>
    <w:rsid w:val="5EB17168"/>
    <w:rsid w:val="5EBD5B0D"/>
    <w:rsid w:val="5EC40FC2"/>
    <w:rsid w:val="5ECB16BE"/>
    <w:rsid w:val="5EE647FB"/>
    <w:rsid w:val="5F090D52"/>
    <w:rsid w:val="5F0E1A83"/>
    <w:rsid w:val="5F1F2324"/>
    <w:rsid w:val="5F2D4A41"/>
    <w:rsid w:val="5F304531"/>
    <w:rsid w:val="5F3F6522"/>
    <w:rsid w:val="5F487ACD"/>
    <w:rsid w:val="5F4C7D43"/>
    <w:rsid w:val="5F66666A"/>
    <w:rsid w:val="5F6823BE"/>
    <w:rsid w:val="5FCA6734"/>
    <w:rsid w:val="5FD45778"/>
    <w:rsid w:val="5FD650D9"/>
    <w:rsid w:val="5FEA6C38"/>
    <w:rsid w:val="5FF217E7"/>
    <w:rsid w:val="602518ED"/>
    <w:rsid w:val="60261490"/>
    <w:rsid w:val="606076A8"/>
    <w:rsid w:val="606D5311"/>
    <w:rsid w:val="60A725D1"/>
    <w:rsid w:val="60B02AE9"/>
    <w:rsid w:val="60CE7B5E"/>
    <w:rsid w:val="60DF313D"/>
    <w:rsid w:val="611F2AAF"/>
    <w:rsid w:val="61446072"/>
    <w:rsid w:val="6146003C"/>
    <w:rsid w:val="615242DA"/>
    <w:rsid w:val="61842912"/>
    <w:rsid w:val="61A66D2D"/>
    <w:rsid w:val="61DC44FC"/>
    <w:rsid w:val="61ED6709"/>
    <w:rsid w:val="62041BA6"/>
    <w:rsid w:val="62620EA5"/>
    <w:rsid w:val="628C7CD0"/>
    <w:rsid w:val="62907857"/>
    <w:rsid w:val="62B611F1"/>
    <w:rsid w:val="62CA2633"/>
    <w:rsid w:val="62E96ED1"/>
    <w:rsid w:val="631847CF"/>
    <w:rsid w:val="632B573B"/>
    <w:rsid w:val="635527B8"/>
    <w:rsid w:val="635B2A2E"/>
    <w:rsid w:val="637B1AF3"/>
    <w:rsid w:val="63971485"/>
    <w:rsid w:val="639D7CBB"/>
    <w:rsid w:val="63EE6769"/>
    <w:rsid w:val="6400551F"/>
    <w:rsid w:val="64137F7D"/>
    <w:rsid w:val="641C6E32"/>
    <w:rsid w:val="64436AB5"/>
    <w:rsid w:val="647B01D1"/>
    <w:rsid w:val="64B14444"/>
    <w:rsid w:val="64B33C3A"/>
    <w:rsid w:val="64B94242"/>
    <w:rsid w:val="64C64FF0"/>
    <w:rsid w:val="64C9520C"/>
    <w:rsid w:val="64E57B6C"/>
    <w:rsid w:val="65091AAC"/>
    <w:rsid w:val="65206DF6"/>
    <w:rsid w:val="65654809"/>
    <w:rsid w:val="6569131A"/>
    <w:rsid w:val="65757142"/>
    <w:rsid w:val="65B37C6A"/>
    <w:rsid w:val="65E322FD"/>
    <w:rsid w:val="660B7517"/>
    <w:rsid w:val="661C580F"/>
    <w:rsid w:val="661C75BD"/>
    <w:rsid w:val="66293A88"/>
    <w:rsid w:val="66522FDF"/>
    <w:rsid w:val="66A6332B"/>
    <w:rsid w:val="66C57C55"/>
    <w:rsid w:val="66CD2666"/>
    <w:rsid w:val="66F61BBC"/>
    <w:rsid w:val="670663A1"/>
    <w:rsid w:val="670C13E0"/>
    <w:rsid w:val="672A1360"/>
    <w:rsid w:val="673B3A73"/>
    <w:rsid w:val="67535201"/>
    <w:rsid w:val="675A65EF"/>
    <w:rsid w:val="67753429"/>
    <w:rsid w:val="67865A12"/>
    <w:rsid w:val="678C42CF"/>
    <w:rsid w:val="679658E3"/>
    <w:rsid w:val="67A0771E"/>
    <w:rsid w:val="67B0620F"/>
    <w:rsid w:val="67F02AB0"/>
    <w:rsid w:val="68394457"/>
    <w:rsid w:val="683E4D93"/>
    <w:rsid w:val="683E550E"/>
    <w:rsid w:val="684150B9"/>
    <w:rsid w:val="68680898"/>
    <w:rsid w:val="688D47A2"/>
    <w:rsid w:val="68961865"/>
    <w:rsid w:val="68B12B08"/>
    <w:rsid w:val="68C006D4"/>
    <w:rsid w:val="691427CE"/>
    <w:rsid w:val="69252C2D"/>
    <w:rsid w:val="694343CF"/>
    <w:rsid w:val="6945507D"/>
    <w:rsid w:val="696E4A2A"/>
    <w:rsid w:val="69766FE4"/>
    <w:rsid w:val="698C48DB"/>
    <w:rsid w:val="69977B84"/>
    <w:rsid w:val="69986EF2"/>
    <w:rsid w:val="69A453AF"/>
    <w:rsid w:val="69A973BA"/>
    <w:rsid w:val="69DF102E"/>
    <w:rsid w:val="69F14D73"/>
    <w:rsid w:val="69FA5E67"/>
    <w:rsid w:val="6A0D4B49"/>
    <w:rsid w:val="6A1318E6"/>
    <w:rsid w:val="6A347E84"/>
    <w:rsid w:val="6A356EA0"/>
    <w:rsid w:val="6A3F0348"/>
    <w:rsid w:val="6A7D446D"/>
    <w:rsid w:val="6A89569B"/>
    <w:rsid w:val="6AA12489"/>
    <w:rsid w:val="6AA95198"/>
    <w:rsid w:val="6AAB2B20"/>
    <w:rsid w:val="6AB35548"/>
    <w:rsid w:val="6AB74743"/>
    <w:rsid w:val="6AE00072"/>
    <w:rsid w:val="6AEB755E"/>
    <w:rsid w:val="6B040620"/>
    <w:rsid w:val="6B264A3A"/>
    <w:rsid w:val="6B2F3761"/>
    <w:rsid w:val="6B332775"/>
    <w:rsid w:val="6B3C7DBA"/>
    <w:rsid w:val="6B5670CE"/>
    <w:rsid w:val="6B5C220A"/>
    <w:rsid w:val="6B5D66AE"/>
    <w:rsid w:val="6B6F1F3D"/>
    <w:rsid w:val="6BD3071E"/>
    <w:rsid w:val="6BEE3567"/>
    <w:rsid w:val="6BF05F2C"/>
    <w:rsid w:val="6BFE3303"/>
    <w:rsid w:val="6C450EF0"/>
    <w:rsid w:val="6C5A0E3F"/>
    <w:rsid w:val="6C6552A6"/>
    <w:rsid w:val="6C6D2921"/>
    <w:rsid w:val="6C6E5F52"/>
    <w:rsid w:val="6C7F59CB"/>
    <w:rsid w:val="6CC14A1B"/>
    <w:rsid w:val="6CE54BAD"/>
    <w:rsid w:val="6CE81FA7"/>
    <w:rsid w:val="6CFE5C6F"/>
    <w:rsid w:val="6D3E606B"/>
    <w:rsid w:val="6D420DAF"/>
    <w:rsid w:val="6D765805"/>
    <w:rsid w:val="6D902C01"/>
    <w:rsid w:val="6DC17D79"/>
    <w:rsid w:val="6DF40E20"/>
    <w:rsid w:val="6E3F02ED"/>
    <w:rsid w:val="6E5518BE"/>
    <w:rsid w:val="6E7C32EF"/>
    <w:rsid w:val="6EF72976"/>
    <w:rsid w:val="6F03527C"/>
    <w:rsid w:val="6F0B01CF"/>
    <w:rsid w:val="6F566994"/>
    <w:rsid w:val="6F616041"/>
    <w:rsid w:val="6F7137F5"/>
    <w:rsid w:val="6F7246F2"/>
    <w:rsid w:val="6F887A72"/>
    <w:rsid w:val="6FBF6E7D"/>
    <w:rsid w:val="6FFD220E"/>
    <w:rsid w:val="701530C9"/>
    <w:rsid w:val="704F058F"/>
    <w:rsid w:val="705D0FE7"/>
    <w:rsid w:val="706D76C1"/>
    <w:rsid w:val="70956D9D"/>
    <w:rsid w:val="709A5CAE"/>
    <w:rsid w:val="70CA4BD0"/>
    <w:rsid w:val="70D50190"/>
    <w:rsid w:val="70E37655"/>
    <w:rsid w:val="71092E34"/>
    <w:rsid w:val="710B2708"/>
    <w:rsid w:val="71213CDA"/>
    <w:rsid w:val="712E5FC4"/>
    <w:rsid w:val="7133618D"/>
    <w:rsid w:val="713A123F"/>
    <w:rsid w:val="71600CA6"/>
    <w:rsid w:val="717604C9"/>
    <w:rsid w:val="71BB16C7"/>
    <w:rsid w:val="71C01745"/>
    <w:rsid w:val="727732BA"/>
    <w:rsid w:val="72AC7F1B"/>
    <w:rsid w:val="72B62B48"/>
    <w:rsid w:val="72C60FDD"/>
    <w:rsid w:val="72E66F89"/>
    <w:rsid w:val="72F01942"/>
    <w:rsid w:val="72FB6F1B"/>
    <w:rsid w:val="73361EE6"/>
    <w:rsid w:val="736F3422"/>
    <w:rsid w:val="737A34D9"/>
    <w:rsid w:val="738A0DF2"/>
    <w:rsid w:val="73DA6042"/>
    <w:rsid w:val="740B27F3"/>
    <w:rsid w:val="741F6689"/>
    <w:rsid w:val="742F670E"/>
    <w:rsid w:val="744328FB"/>
    <w:rsid w:val="74A71AF9"/>
    <w:rsid w:val="74E90FB2"/>
    <w:rsid w:val="752A6D36"/>
    <w:rsid w:val="75527BF3"/>
    <w:rsid w:val="759478EB"/>
    <w:rsid w:val="75A849CA"/>
    <w:rsid w:val="75B710B7"/>
    <w:rsid w:val="75E33C54"/>
    <w:rsid w:val="75F220E9"/>
    <w:rsid w:val="75F419BD"/>
    <w:rsid w:val="76124539"/>
    <w:rsid w:val="762D1373"/>
    <w:rsid w:val="76391AC6"/>
    <w:rsid w:val="76393874"/>
    <w:rsid w:val="766C1E9B"/>
    <w:rsid w:val="767D5E56"/>
    <w:rsid w:val="769D02A6"/>
    <w:rsid w:val="76A01B45"/>
    <w:rsid w:val="76BD6253"/>
    <w:rsid w:val="76D637B8"/>
    <w:rsid w:val="76EF03D6"/>
    <w:rsid w:val="770E6AAE"/>
    <w:rsid w:val="77324E93"/>
    <w:rsid w:val="773C2372"/>
    <w:rsid w:val="77562203"/>
    <w:rsid w:val="7758241F"/>
    <w:rsid w:val="775A6600"/>
    <w:rsid w:val="776E39F1"/>
    <w:rsid w:val="77972F48"/>
    <w:rsid w:val="779D44E2"/>
    <w:rsid w:val="77A86F03"/>
    <w:rsid w:val="77E370B7"/>
    <w:rsid w:val="77ED2B68"/>
    <w:rsid w:val="7841308E"/>
    <w:rsid w:val="78660CF3"/>
    <w:rsid w:val="786D5A56"/>
    <w:rsid w:val="787E5EB6"/>
    <w:rsid w:val="788A6608"/>
    <w:rsid w:val="78A3591C"/>
    <w:rsid w:val="798E58B3"/>
    <w:rsid w:val="79A656C4"/>
    <w:rsid w:val="79B31B8F"/>
    <w:rsid w:val="79B6781E"/>
    <w:rsid w:val="79D264B9"/>
    <w:rsid w:val="79ED32F3"/>
    <w:rsid w:val="79EE766A"/>
    <w:rsid w:val="7A5A1319"/>
    <w:rsid w:val="7A6D4434"/>
    <w:rsid w:val="7A74131E"/>
    <w:rsid w:val="7A7B26AD"/>
    <w:rsid w:val="7A884DCA"/>
    <w:rsid w:val="7A990D85"/>
    <w:rsid w:val="7ABB480C"/>
    <w:rsid w:val="7ACF6AF5"/>
    <w:rsid w:val="7AE10441"/>
    <w:rsid w:val="7B4E7DC1"/>
    <w:rsid w:val="7B561F85"/>
    <w:rsid w:val="7B564EC8"/>
    <w:rsid w:val="7B7B048A"/>
    <w:rsid w:val="7B8933C4"/>
    <w:rsid w:val="7BC04D1F"/>
    <w:rsid w:val="7BC372DD"/>
    <w:rsid w:val="7BED75DA"/>
    <w:rsid w:val="7C007E20"/>
    <w:rsid w:val="7C3A20F4"/>
    <w:rsid w:val="7C3C58B5"/>
    <w:rsid w:val="7C4D62CB"/>
    <w:rsid w:val="7C4D7518"/>
    <w:rsid w:val="7C684EB3"/>
    <w:rsid w:val="7C79393B"/>
    <w:rsid w:val="7CF77BEF"/>
    <w:rsid w:val="7D115322"/>
    <w:rsid w:val="7D7358BD"/>
    <w:rsid w:val="7D75378E"/>
    <w:rsid w:val="7D8F646F"/>
    <w:rsid w:val="7D921A0C"/>
    <w:rsid w:val="7DB454CB"/>
    <w:rsid w:val="7DBD71E1"/>
    <w:rsid w:val="7DF90EFE"/>
    <w:rsid w:val="7E095A94"/>
    <w:rsid w:val="7E244E09"/>
    <w:rsid w:val="7E2D1F10"/>
    <w:rsid w:val="7E2E5C88"/>
    <w:rsid w:val="7E3037AE"/>
    <w:rsid w:val="7E3A462D"/>
    <w:rsid w:val="7E6478FC"/>
    <w:rsid w:val="7E7A711F"/>
    <w:rsid w:val="7E880111"/>
    <w:rsid w:val="7E8D0C00"/>
    <w:rsid w:val="7E9975A5"/>
    <w:rsid w:val="7E9C52E7"/>
    <w:rsid w:val="7E9C67C4"/>
    <w:rsid w:val="7EFE1EC7"/>
    <w:rsid w:val="7F5C2215"/>
    <w:rsid w:val="7F623E3B"/>
    <w:rsid w:val="7F6369A0"/>
    <w:rsid w:val="7F6851CA"/>
    <w:rsid w:val="7F741DC0"/>
    <w:rsid w:val="7FAA7590"/>
    <w:rsid w:val="7FBF128D"/>
    <w:rsid w:val="7FD00D3D"/>
    <w:rsid w:val="7FD91C23"/>
    <w:rsid w:val="7FF92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autoRedefine/>
    <w:qFormat/>
    <w:uiPriority w:val="1"/>
    <w:rPr>
      <w:rFonts w:ascii="仿宋_GB2312" w:hAnsi="仿宋_GB2312" w:eastAsia="仿宋_GB2312" w:cs="仿宋_GB2312"/>
      <w:sz w:val="32"/>
      <w:szCs w:val="32"/>
      <w:lang w:val="zh-CN" w:bidi="zh-CN"/>
    </w:rPr>
  </w:style>
  <w:style w:type="paragraph" w:styleId="6">
    <w:name w:val="toc 3"/>
    <w:basedOn w:val="1"/>
    <w:next w:val="1"/>
    <w:autoRedefine/>
    <w:qFormat/>
    <w:uiPriority w:val="0"/>
    <w:pPr>
      <w:ind w:left="840" w:leftChars="400"/>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character" w:styleId="16">
    <w:name w:val="Emphasis"/>
    <w:basedOn w:val="14"/>
    <w:autoRedefine/>
    <w:qFormat/>
    <w:uiPriority w:val="0"/>
    <w:rPr>
      <w:i/>
    </w:rPr>
  </w:style>
  <w:style w:type="character" w:customStyle="1" w:styleId="17">
    <w:name w:val="font11"/>
    <w:basedOn w:val="14"/>
    <w:autoRedefine/>
    <w:qFormat/>
    <w:uiPriority w:val="0"/>
    <w:rPr>
      <w:rFonts w:hint="eastAsia" w:ascii="宋体" w:hAnsi="宋体" w:eastAsia="宋体" w:cs="宋体"/>
      <w:color w:val="000000"/>
      <w:sz w:val="20"/>
      <w:szCs w:val="20"/>
      <w:u w:val="none"/>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paragraph" w:customStyle="1" w:styleId="20">
    <w:name w:val="WPSOffice手动目录 3"/>
    <w:autoRedefine/>
    <w:qFormat/>
    <w:uiPriority w:val="0"/>
    <w:pPr>
      <w:ind w:leftChars="400"/>
    </w:pPr>
    <w:rPr>
      <w:rFonts w:ascii="Times New Roman" w:hAnsi="Times New Roman" w:eastAsia="宋体" w:cs="Times New Roman"/>
      <w:sz w:val="20"/>
      <w:szCs w:val="20"/>
    </w:rPr>
  </w:style>
  <w:style w:type="character" w:customStyle="1" w:styleId="21">
    <w:name w:val="font31"/>
    <w:basedOn w:val="14"/>
    <w:autoRedefine/>
    <w:qFormat/>
    <w:uiPriority w:val="0"/>
    <w:rPr>
      <w:rFonts w:hint="eastAsia" w:ascii="仿宋_GB2312" w:eastAsia="仿宋_GB2312" w:cs="仿宋_GB2312"/>
      <w:b/>
      <w:bCs/>
      <w:color w:val="000000"/>
      <w:sz w:val="24"/>
      <w:szCs w:val="24"/>
      <w:u w:val="none"/>
    </w:rPr>
  </w:style>
  <w:style w:type="character" w:customStyle="1" w:styleId="22">
    <w:name w:val="font01"/>
    <w:basedOn w:val="14"/>
    <w:autoRedefine/>
    <w:qFormat/>
    <w:uiPriority w:val="0"/>
    <w:rPr>
      <w:rFonts w:hint="default" w:ascii="等线" w:hAnsi="等线" w:eastAsia="等线" w:cs="等线"/>
      <w:b/>
      <w:bCs/>
      <w:color w:val="000000"/>
      <w:sz w:val="24"/>
      <w:szCs w:val="24"/>
      <w:u w:val="none"/>
    </w:rPr>
  </w:style>
  <w:style w:type="character" w:customStyle="1" w:styleId="23">
    <w:name w:val="font41"/>
    <w:basedOn w:val="14"/>
    <w:autoRedefine/>
    <w:qFormat/>
    <w:uiPriority w:val="0"/>
    <w:rPr>
      <w:rFonts w:hint="default" w:ascii="Times New Roman" w:hAnsi="Times New Roman" w:cs="Times New Roman"/>
      <w:b/>
      <w:bCs/>
      <w:color w:val="000000"/>
      <w:sz w:val="24"/>
      <w:szCs w:val="24"/>
      <w:u w:val="none"/>
    </w:rPr>
  </w:style>
  <w:style w:type="character" w:customStyle="1" w:styleId="24">
    <w:name w:val="font51"/>
    <w:basedOn w:val="14"/>
    <w:autoRedefine/>
    <w:qFormat/>
    <w:uiPriority w:val="0"/>
    <w:rPr>
      <w:rFonts w:hint="eastAsia" w:ascii="仿宋_GB2312" w:eastAsia="仿宋_GB2312" w:cs="仿宋_GB2312"/>
      <w:color w:val="000000"/>
      <w:sz w:val="24"/>
      <w:szCs w:val="24"/>
      <w:u w:val="none"/>
    </w:rPr>
  </w:style>
  <w:style w:type="character" w:customStyle="1" w:styleId="25">
    <w:name w:val="font21"/>
    <w:basedOn w:val="14"/>
    <w:autoRedefine/>
    <w:qFormat/>
    <w:uiPriority w:val="0"/>
    <w:rPr>
      <w:rFonts w:hint="default" w:ascii="Times New Roman" w:hAnsi="Times New Roman" w:cs="Times New Roman"/>
      <w:color w:val="000000"/>
      <w:sz w:val="24"/>
      <w:szCs w:val="24"/>
      <w:u w:val="none"/>
    </w:rPr>
  </w:style>
  <w:style w:type="character" w:customStyle="1" w:styleId="26">
    <w:name w:val="font71"/>
    <w:basedOn w:val="14"/>
    <w:autoRedefine/>
    <w:qFormat/>
    <w:uiPriority w:val="0"/>
    <w:rPr>
      <w:rFonts w:hint="default" w:ascii="Times New Roman" w:hAnsi="Times New Roman" w:cs="Times New Roman"/>
      <w:b/>
      <w:bCs/>
      <w:color w:val="000000"/>
      <w:sz w:val="24"/>
      <w:szCs w:val="24"/>
      <w:u w:val="none"/>
    </w:rPr>
  </w:style>
  <w:style w:type="character" w:customStyle="1" w:styleId="27">
    <w:name w:val="font81"/>
    <w:basedOn w:val="14"/>
    <w:autoRedefine/>
    <w:qFormat/>
    <w:uiPriority w:val="0"/>
    <w:rPr>
      <w:rFonts w:hint="default" w:ascii="Times New Roman" w:hAnsi="Times New Roman" w:cs="Times New Roman"/>
      <w:color w:val="000000"/>
      <w:sz w:val="24"/>
      <w:szCs w:val="24"/>
      <w:u w:val="none"/>
    </w:rPr>
  </w:style>
  <w:style w:type="character" w:customStyle="1" w:styleId="28">
    <w:name w:val="font61"/>
    <w:basedOn w:val="14"/>
    <w:autoRedefine/>
    <w:qFormat/>
    <w:uiPriority w:val="0"/>
    <w:rPr>
      <w:rFonts w:hint="eastAsia" w:ascii="仿宋_GB2312" w:eastAsia="仿宋_GB2312" w:cs="仿宋_GB2312"/>
      <w:b/>
      <w:bCs/>
      <w:color w:val="000000"/>
      <w:sz w:val="24"/>
      <w:szCs w:val="24"/>
      <w:u w:val="none"/>
    </w:rPr>
  </w:style>
  <w:style w:type="paragraph" w:customStyle="1" w:styleId="29">
    <w:name w:val="图表目录1"/>
    <w:basedOn w:val="1"/>
    <w:next w:val="1"/>
    <w:autoRedefine/>
    <w:qFormat/>
    <w:uiPriority w:val="0"/>
    <w:pPr>
      <w:ind w:left="200" w:leftChars="200" w:hanging="200" w:hangingChars="200"/>
    </w:pPr>
    <w:rPr>
      <w:rFonts w:eastAsia="仿宋_GB2312"/>
      <w:sz w:val="32"/>
    </w:rPr>
  </w:style>
  <w:style w:type="paragraph" w:customStyle="1" w:styleId="30">
    <w:name w:val="表目录123"/>
    <w:basedOn w:val="1"/>
    <w:autoRedefine/>
    <w:qFormat/>
    <w:uiPriority w:val="0"/>
    <w:pPr>
      <w:jc w:val="center"/>
    </w:pPr>
    <w:rPr>
      <w:rFonts w:hint="eastAsia" w:ascii="仿宋" w:hAnsi="仿宋" w:eastAsia="仿宋" w:cs="仿宋"/>
      <w:b/>
      <w:bCs/>
      <w:color w:val="auto"/>
      <w:sz w:val="28"/>
      <w:szCs w:val="28"/>
    </w:rPr>
  </w:style>
  <w:style w:type="paragraph" w:customStyle="1" w:styleId="31">
    <w:name w:val="图目录ABC"/>
    <w:basedOn w:val="1"/>
    <w:link w:val="33"/>
    <w:autoRedefine/>
    <w:qFormat/>
    <w:uiPriority w:val="0"/>
    <w:pPr>
      <w:jc w:val="center"/>
    </w:pPr>
    <w:rPr>
      <w:rFonts w:hint="eastAsia" w:ascii="仿宋" w:hAnsi="仿宋" w:eastAsia="仿宋" w:cs="仿宋"/>
      <w:b/>
      <w:bCs/>
      <w:color w:val="auto"/>
      <w:sz w:val="24"/>
    </w:rPr>
  </w:style>
  <w:style w:type="paragraph" w:customStyle="1" w:styleId="32">
    <w:name w:val="案例目录789"/>
    <w:basedOn w:val="1"/>
    <w:autoRedefine/>
    <w:qFormat/>
    <w:uiPriority w:val="0"/>
    <w:pPr>
      <w:jc w:val="center"/>
    </w:pPr>
    <w:rPr>
      <w:rFonts w:hint="eastAsia" w:ascii="仿宋" w:hAnsi="仿宋" w:eastAsia="仿宋" w:cs="仿宋"/>
      <w:b/>
      <w:bCs/>
      <w:color w:val="auto"/>
      <w:sz w:val="28"/>
      <w:szCs w:val="28"/>
    </w:rPr>
  </w:style>
  <w:style w:type="character" w:customStyle="1" w:styleId="33">
    <w:name w:val="图目录ABC Char"/>
    <w:link w:val="31"/>
    <w:autoRedefine/>
    <w:qFormat/>
    <w:uiPriority w:val="0"/>
    <w:rPr>
      <w:rFonts w:hint="eastAsia" w:ascii="仿宋" w:hAnsi="仿宋" w:eastAsia="仿宋" w:cs="仿宋"/>
      <w:b/>
      <w:bCs/>
      <w:color w:val="auto"/>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12615</Words>
  <Characters>13607</Characters>
  <Lines>0</Lines>
  <Paragraphs>0</Paragraphs>
  <TotalTime>10</TotalTime>
  <ScaleCrop>false</ScaleCrop>
  <LinksUpToDate>false</LinksUpToDate>
  <CharactersWithSpaces>13742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2021-11-09T01:14:00Z</dcterms:created>
  <dc:creator>原封不动先生</dc:creator>
  <cp:lastModifiedBy>郭</cp:lastModifiedBy>
  <cp:lastPrinted>2023-12-29T02:35:00Z</cp:lastPrinted>
  <dcterms:modified xsi:type="dcterms:W3CDTF">2023-12-29T07:03:24Z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0240F08267254E25B5C772D632027208_13</vt:lpwstr>
  </property>
</Properties>
</file>